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400"/>
      </w:pPr>
      <w:r>
        <w:rPr>
          <w:sz w:val="72"/>
          <w:szCs w:val="72"/>
        </w:rPr>
        <w:t xml:space="preserve"/>
      </w:r>
    </w:p>
    <w:p>
      <w:pPr>
        <w:jc w:val="center"/>
      </w:pPr>
      <w:r>
        <w:rPr>
          <w:rFonts w:ascii="Calibri" w:cs="Calibri" w:eastAsia="Calibri" w:hAnsi="Calibri"/>
          <w:b/>
          <w:bCs/>
          <w:color w:val="C0392B"/>
          <w:sz w:val="80"/>
          <w:szCs w:val="80"/>
        </w:rPr>
        <w:t xml:space="preserve">REKOVER</w:t>
      </w:r>
    </w:p>
    <w:p>
      <w:pPr>
        <w:spacing w:before="140"/>
        <w:jc w:val="center"/>
      </w:pPr>
      <w:r>
        <w:rPr>
          <w:rFonts w:ascii="Calibri" w:cs="Calibri" w:eastAsia="Calibri" w:hAnsi="Calibri"/>
          <w:b/>
          <w:bCs/>
          <w:color w:val="1A1A1A"/>
          <w:sz w:val="30"/>
          <w:szCs w:val="30"/>
        </w:rPr>
        <w:t xml:space="preserve">FORMATION PROFESSIONNELLE</w:t>
      </w:r>
    </w:p>
    <w:p>
      <w:pPr>
        <w:spacing w:before="180"/>
        <w:jc w:val="center"/>
      </w:pPr>
      <w:r>
        <w:rPr>
          <w:rFonts w:ascii="Calibri" w:cs="Calibri" w:eastAsia="Calibri" w:hAnsi="Calibri"/>
          <w:b/>
          <w:bCs/>
          <w:color w:val="C0392B"/>
          <w:sz w:val="26"/>
          <w:szCs w:val="26"/>
        </w:rPr>
        <w:t xml:space="preserve">MODULE 06 — Nutrition &amp; Compléments</w:t>
      </w:r>
    </w:p>
    <w:p>
      <w:pPr>
        <w:spacing w:before="110"/>
        <w:jc w:val="center"/>
      </w:pPr>
      <w:r>
        <w:rPr>
          <w:rFonts w:ascii="Calibri" w:cs="Calibri" w:eastAsia="Calibri" w:hAnsi="Calibri"/>
          <w:i/>
          <w:iCs/>
          <w:color w:val="666666"/>
          <w:sz w:val="22"/>
          <w:szCs w:val="22"/>
        </w:rPr>
        <w:t xml:space="preserve">"La récupération de l'intérieur"</w:t>
      </w:r>
    </w:p>
    <w:p>
      <w:pPr>
        <w:spacing w:before="560"/>
      </w:pPr>
      <w:r>
        <w:t xml:space="preserve"/>
      </w:r>
    </w:p>
    <w:p>
      <w:pPr>
        <w:jc w:val="center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Urban Media Design SARL · rekover.ma · Juillet 2026</w:t>
      </w:r>
    </w:p>
    <w:p>
      <w:r>
        <w:br w:type="page"/>
      </w:r>
    </w:p>
    <w:p>
      <w:pPr>
        <w:pBdr>
          <w:bottom w:val="single" w:color="C0392B" w:sz="8"/>
        </w:pBdr>
        <w:spacing w:after="220" w:before="440"/>
      </w:pPr>
      <w:r>
        <w:rPr>
          <w:rFonts w:ascii="Calibri" w:cs="Calibri" w:eastAsia="Calibri" w:hAnsi="Calibri"/>
          <w:b/>
          <w:bCs/>
          <w:color w:val="C0392B"/>
          <w:sz w:val="38"/>
          <w:szCs w:val="38"/>
        </w:rPr>
        <w:t xml:space="preserve">PARTIE 1 — Pourquoi les compléments sont indispensables</w:t>
      </w: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C0392B"/>
          <w:sz w:val="26"/>
          <w:szCs w:val="26"/>
        </w:rPr>
        <w:t xml:space="preserve">La règle des 3 couches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Couche 1 — Les essentiels (tout le monde) : Magnésium bisglycinate, Vitamine D3+K2, Oméga-3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Couche 2 — La performance (sportifs réguliers) : Créatine, BCAA, Électrolytes, Collagène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Couche 3 — L'optimisation (athlètes exigeants) : Ashwagandha, L-Théanine, Mélatonine, Curcuma</w:t>
      </w:r>
    </w:p>
    <w:p>
      <w:r>
        <w:br w:type="page"/>
      </w:r>
    </w:p>
    <w:p>
      <w:pPr>
        <w:pBdr>
          <w:bottom w:val="single" w:color="C0392B" w:sz="8"/>
        </w:pBdr>
        <w:spacing w:after="220" w:before="440"/>
      </w:pPr>
      <w:r>
        <w:rPr>
          <w:rFonts w:ascii="Calibri" w:cs="Calibri" w:eastAsia="Calibri" w:hAnsi="Calibri"/>
          <w:b/>
          <w:bCs/>
          <w:color w:val="C0392B"/>
          <w:sz w:val="38"/>
          <w:szCs w:val="38"/>
        </w:rPr>
        <w:t xml:space="preserve">PARTIE 2 — Les 8 produits REKOVER</w:t>
      </w: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C0392B"/>
          <w:sz w:val="26"/>
          <w:szCs w:val="26"/>
        </w:rPr>
        <w:t xml:space="preserve">1. Magnésium Bisglycinate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Dosage : 300–400 mg/jour au coucher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Carence chez 70% des sportifs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Forme bisglycinate = absorption 80%+ vs 30% magnésium marin</w:t>
      </w: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C0392B"/>
          <w:sz w:val="26"/>
          <w:szCs w:val="26"/>
        </w:rPr>
        <w:t xml:space="preserve">2. Collagène Hydrolysé + Vit. C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Dosage : 10–15 g/jour, 30 min avant l'effort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La vitamine C multiplie l'absorption par 3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Résultats visibles en 8 à 12 semaines</w:t>
      </w: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C0392B"/>
          <w:sz w:val="26"/>
          <w:szCs w:val="26"/>
        </w:rPr>
        <w:t xml:space="preserve">3. Électrolytes Sport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Timing : pendant et après l'effort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Contient Na, K, Mg, Ca en proportions optimales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Indispensable en été au Maroc</w:t>
      </w: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C0392B"/>
          <w:sz w:val="26"/>
          <w:szCs w:val="26"/>
        </w:rPr>
        <w:t xml:space="preserve">4. Oméga-3 EPA+DHA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Dosage : 2–3 g EPA+DHA/jour avec repas gras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Synergie avec Ice Bath (double effet anti-inflammatoire)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Résultats en 4 à 8 semaines</w:t>
      </w: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C0392B"/>
          <w:sz w:val="26"/>
          <w:szCs w:val="26"/>
        </w:rPr>
        <w:t xml:space="preserve">5. Créatine Monohydrate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Dosage : 3–5 g/jour (pas de phase de charge nécessaire)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Complément le plus étudié au monde après la caféine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Effet visible en 4 semaines</w:t>
      </w: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C0392B"/>
          <w:sz w:val="26"/>
          <w:szCs w:val="26"/>
        </w:rPr>
        <w:t xml:space="preserve">6. BCAA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Dosage : 5–10 g pendant ou après l'effort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Particulièrement utile pendant le Ramadan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Idéal combiné avec créatine</w:t>
      </w: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C0392B"/>
          <w:sz w:val="26"/>
          <w:szCs w:val="26"/>
        </w:rPr>
        <w:t xml:space="preserve">7. Vitamine D3 + K2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Dosage : 2 000–4 000 UI D3 + 100 µg K2/jour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Carence très fréquente au Maroc malgré le soleil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K2 dirige le calcium vers les os, pas les artères</w:t>
      </w: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C0392B"/>
          <w:sz w:val="26"/>
          <w:szCs w:val="26"/>
        </w:rPr>
        <w:t xml:space="preserve">8. Curcuma + Poivre Noir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Dosage : 500–1 000 mg/jour avec repas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La pipérine multiplie l'absorption par 20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Synergie puissante avec RLT et Oméga-3</w:t>
      </w:r>
    </w:p>
    <w:p>
      <w:r>
        <w:br w:type="page"/>
      </w:r>
    </w:p>
    <w:p>
      <w:pPr>
        <w:pBdr>
          <w:bottom w:val="single" w:color="C0392B" w:sz="8"/>
        </w:pBdr>
        <w:spacing w:after="220" w:before="440"/>
      </w:pPr>
      <w:r>
        <w:rPr>
          <w:rFonts w:ascii="Calibri" w:cs="Calibri" w:eastAsia="Calibri" w:hAnsi="Calibri"/>
          <w:b/>
          <w:bCs/>
          <w:color w:val="C0392B"/>
          <w:sz w:val="38"/>
          <w:szCs w:val="38"/>
        </w:rPr>
        <w:t xml:space="preserve">PARTIE 3 — Le timing optimal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C0392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Complément</w:t>
            </w:r>
          </w:p>
        </w:tc>
        <w:tc>
          <w:tcPr>
            <w:shd w:fill="C0392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Matin</w:t>
            </w:r>
          </w:p>
        </w:tc>
        <w:tc>
          <w:tcPr>
            <w:shd w:fill="C0392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Avant effort</w:t>
            </w:r>
          </w:p>
        </w:tc>
        <w:tc>
          <w:tcPr>
            <w:shd w:fill="C0392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Pendant</w:t>
            </w:r>
          </w:p>
        </w:tc>
        <w:tc>
          <w:tcPr>
            <w:shd w:fill="C0392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Après</w:t>
            </w:r>
          </w:p>
        </w:tc>
        <w:tc>
          <w:tcPr>
            <w:shd w:fill="C0392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Soir</w:t>
            </w:r>
          </w:p>
        </w:tc>
      </w:tr>
      <w:tr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Magnésium</w:t>
            </w:r>
          </w:p>
        </w:tc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—</w:t>
            </w:r>
          </w:p>
        </w:tc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—</w:t>
            </w:r>
          </w:p>
        </w:tc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—</w:t>
            </w:r>
          </w:p>
        </w:tc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—</w:t>
            </w:r>
          </w:p>
        </w:tc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✓ Idéal</w:t>
            </w:r>
          </w:p>
        </w:tc>
      </w:tr>
      <w:tr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Collagène + Vit. C</w:t>
            </w:r>
          </w:p>
        </w:tc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—</w:t>
            </w:r>
          </w:p>
        </w:tc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✓ 30 min</w:t>
            </w:r>
          </w:p>
        </w:tc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—</w:t>
            </w:r>
          </w:p>
        </w:tc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—</w:t>
            </w:r>
          </w:p>
        </w:tc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—</w:t>
            </w:r>
          </w:p>
        </w:tc>
      </w:tr>
      <w:tr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Électrolytes</w:t>
            </w:r>
          </w:p>
        </w:tc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—</w:t>
            </w:r>
          </w:p>
        </w:tc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—</w:t>
            </w:r>
          </w:p>
        </w:tc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✓</w:t>
            </w:r>
          </w:p>
        </w:tc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✓</w:t>
            </w:r>
          </w:p>
        </w:tc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—</w:t>
            </w:r>
          </w:p>
        </w:tc>
      </w:tr>
      <w:tr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Oméga-3</w:t>
            </w:r>
          </w:p>
        </w:tc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✓ repas</w:t>
            </w:r>
          </w:p>
        </w:tc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—</w:t>
            </w:r>
          </w:p>
        </w:tc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—</w:t>
            </w:r>
          </w:p>
        </w:tc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✓ repas</w:t>
            </w:r>
          </w:p>
        </w:tc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—</w:t>
            </w:r>
          </w:p>
        </w:tc>
      </w:tr>
      <w:tr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Créatine</w:t>
            </w:r>
          </w:p>
        </w:tc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✓</w:t>
            </w:r>
          </w:p>
        </w:tc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—</w:t>
            </w:r>
          </w:p>
        </w:tc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—</w:t>
            </w:r>
          </w:p>
        </w:tc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✓</w:t>
            </w:r>
          </w:p>
        </w:tc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—</w:t>
            </w:r>
          </w:p>
        </w:tc>
      </w:tr>
      <w:tr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BCAA</w:t>
            </w:r>
          </w:p>
        </w:tc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—</w:t>
            </w:r>
          </w:p>
        </w:tc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—</w:t>
            </w:r>
          </w:p>
        </w:tc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✓</w:t>
            </w:r>
          </w:p>
        </w:tc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✓</w:t>
            </w:r>
          </w:p>
        </w:tc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—</w:t>
            </w:r>
          </w:p>
        </w:tc>
      </w:tr>
      <w:tr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Vit. D3+K2</w:t>
            </w:r>
          </w:p>
        </w:tc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✓ repas gras</w:t>
            </w:r>
          </w:p>
        </w:tc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—</w:t>
            </w:r>
          </w:p>
        </w:tc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—</w:t>
            </w:r>
          </w:p>
        </w:tc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—</w:t>
            </w:r>
          </w:p>
        </w:tc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—</w:t>
            </w:r>
          </w:p>
        </w:tc>
      </w:tr>
      <w:tr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Curcuma</w:t>
            </w:r>
          </w:p>
        </w:tc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—</w:t>
            </w:r>
          </w:p>
        </w:tc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—</w:t>
            </w:r>
          </w:p>
        </w:tc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—</w:t>
            </w:r>
          </w:p>
        </w:tc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✓ repas</w:t>
            </w:r>
          </w:p>
        </w:tc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—</w:t>
            </w:r>
          </w:p>
        </w:tc>
      </w:tr>
    </w:tbl>
    <w:p>
      <w:r>
        <w:br w:type="page"/>
      </w:r>
    </w:p>
    <w:p>
      <w:pPr>
        <w:pBdr>
          <w:bottom w:val="single" w:color="C0392B" w:sz="8"/>
        </w:pBdr>
        <w:spacing w:after="220" w:before="440"/>
      </w:pPr>
      <w:r>
        <w:rPr>
          <w:rFonts w:ascii="Calibri" w:cs="Calibri" w:eastAsia="Calibri" w:hAnsi="Calibri"/>
          <w:b/>
          <w:bCs/>
          <w:color w:val="C0392B"/>
          <w:sz w:val="38"/>
          <w:szCs w:val="38"/>
        </w:rPr>
        <w:t xml:space="preserve">PARTIE 4 — Comment vendre les compléments</w:t>
      </w: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C0392B"/>
          <w:sz w:val="26"/>
          <w:szCs w:val="26"/>
        </w:rPr>
        <w:t xml:space="preserve">L'argument synergie</w:t>
      </w:r>
    </w:p>
    <w:tbl>
      <w:tblPr>
        <w:tblW w:type="dxa" w:w="9500"/>
        <w:tblBorders>
          <w:top w:val="none"/>
          <w:left w:val="thick" w:color="C0392B" w:sz="22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500"/>
            <w:shd w:fill="FFF5F5" w:val="clear"/>
            <w:tcMar>
              <w:top w:type="dxa" w:w="110"/>
              <w:left w:type="dxa" w:w="200"/>
              <w:bottom w:type="dxa" w:w="110"/>
              <w:right w:type="dxa" w:w="11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1A1A1A"/>
                <w:sz w:val="22"/>
                <w:szCs w:val="22"/>
              </w:rPr>
              <w:t xml:space="preserve">"Les équipements REKOVER accélèrent votre récupération de l'extérieur. Les compléments l'accélèrent de l'intérieur. La Red Light Therapy améliore l'absorption des nutriments cellulaires — elle potentialise directement l'effet du magnésium et du collagène."</w:t>
            </w:r>
          </w:p>
        </w:tc>
      </w:tr>
    </w:tbl>
    <w:p>
      <w:pPr>
        <w:spacing w:after="140" w:before="320"/>
      </w:pPr>
      <w:r>
        <w:rPr>
          <w:rFonts w:ascii="Calibri" w:cs="Calibri" w:eastAsia="Calibri" w:hAnsi="Calibri"/>
          <w:b/>
          <w:bCs/>
          <w:color w:val="C0392B"/>
          <w:sz w:val="26"/>
          <w:szCs w:val="26"/>
        </w:rPr>
        <w:t xml:space="preserve">L'argument récurrence</w:t>
      </w:r>
    </w:p>
    <w:tbl>
      <w:tblPr>
        <w:tblW w:type="dxa" w:w="9500"/>
        <w:tblBorders>
          <w:top w:val="none"/>
          <w:left w:val="thick" w:color="C0392B" w:sz="22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500"/>
            <w:shd w:fill="FFF5F5" w:val="clear"/>
            <w:tcMar>
              <w:top w:type="dxa" w:w="110"/>
              <w:left w:type="dxa" w:w="200"/>
              <w:bottom w:type="dxa" w:w="110"/>
              <w:right w:type="dxa" w:w="11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1A1A1A"/>
                <w:sz w:val="22"/>
                <w:szCs w:val="22"/>
              </w:rPr>
              <w:t xml:space="preserve">"Les équipements s'achètent une fois. Les compléments se rachètent chaque mois. Pour votre club, c'est un revenu récurrent prévisible — vos membres commandent, vous livrez, vous marquez une marge chaque mois."</w:t>
            </w:r>
          </w:p>
        </w:tc>
      </w:tr>
    </w:tbl>
    <w:p>
      <w:r>
        <w:br w:type="page"/>
      </w:r>
    </w:p>
    <w:p>
      <w:pPr>
        <w:pBdr>
          <w:bottom w:val="single" w:color="C0392B" w:sz="8"/>
        </w:pBdr>
        <w:spacing w:after="220" w:before="440"/>
      </w:pPr>
      <w:r>
        <w:rPr>
          <w:rFonts w:ascii="Calibri" w:cs="Calibri" w:eastAsia="Calibri" w:hAnsi="Calibri"/>
          <w:b/>
          <w:bCs/>
          <w:color w:val="C0392B"/>
          <w:sz w:val="38"/>
          <w:szCs w:val="38"/>
        </w:rPr>
        <w:t xml:space="preserve">TEST DE COMPRÉHENSION</w:t>
      </w:r>
    </w:p>
    <w:p>
      <w:pPr>
        <w:spacing w:after="70" w:before="70"/>
        <w:ind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Répondez à ces questions sans regarder vos notes :</w:t>
      </w:r>
    </w:p>
    <w:p>
      <w:pPr>
        <w:spacing w:before="140"/>
      </w:pP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Quelle est la différence entre magnésium bisglycinate et magnésium marin ?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Pourquoi prendre le collagène 30 minutes avant l'effort ?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Citez les 3 couches de la règle nutritionnelle REKOVER.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Quelle synergie existe entre la RLT et les compléments ?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Comment présentez-vous les compléments comme source de revenu récurrent ?</w:t>
      </w:r>
    </w:p>
    <w:p>
      <w:pPr>
        <w:spacing w:before="220"/>
      </w:pPr>
    </w:p>
    <w:p>
      <w:pPr>
        <w:pBdr>
          <w:bottom w:val="single" w:color="C0392B" w:sz="6"/>
        </w:pBdr>
        <w:spacing w:after="220" w:before="220"/>
      </w:pPr>
      <w:r>
        <w:t xml:space="preserve"/>
      </w:r>
    </w:p>
    <w:p>
      <w:pPr>
        <w:spacing w:before="110"/>
        <w:jc w:val="center"/>
      </w:pPr>
      <w:r>
        <w:rPr>
          <w:rFonts w:ascii="Calibri" w:cs="Calibri" w:eastAsia="Calibri" w:hAnsi="Calibri"/>
          <w:color w:val="666666"/>
          <w:sz w:val="17"/>
          <w:szCs w:val="17"/>
        </w:rPr>
        <w:t xml:space="preserve">REKOVER · Formation professionnelle · Confidentiel · rekover.ma</w:t>
      </w:r>
    </w:p>
    <w:sectPr>
      <w:pgSz w:w="11906" w:h="16838" w:orient="portrait"/>
      <w:pgMar w:top="1100" w:right="1100" w:bottom="11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2026-08-04T06:55:43.490Z</dcterms:created>
  <dcterms:modified xsi:type="dcterms:W3CDTF">2026-08-04T06:55:43.490Z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