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1400"/>
      </w:pPr>
      <w:r>
        <w:rPr>
          <w:sz w:val="72"/>
          <w:szCs w:val="72"/>
        </w:rPr>
        <w:t xml:space="preserve"/>
      </w:r>
    </w:p>
    <w:p>
      <w:pPr>
        <w:jc w:val="center"/>
      </w:pPr>
      <w:r>
        <w:rPr>
          <w:rFonts w:ascii="Calibri" w:cs="Calibri" w:eastAsia="Calibri" w:hAnsi="Calibri"/>
          <w:b/>
          <w:bCs/>
          <w:color w:val="C0392B"/>
          <w:sz w:val="80"/>
          <w:szCs w:val="80"/>
        </w:rPr>
        <w:t xml:space="preserve">REKOVER</w:t>
      </w:r>
    </w:p>
    <w:p>
      <w:pPr>
        <w:spacing w:before="140"/>
        <w:jc w:val="center"/>
      </w:pPr>
      <w:r>
        <w:rPr>
          <w:rFonts w:ascii="Calibri" w:cs="Calibri" w:eastAsia="Calibri" w:hAnsi="Calibri"/>
          <w:b/>
          <w:bCs/>
          <w:color w:val="1A1A1A"/>
          <w:sz w:val="30"/>
          <w:szCs w:val="30"/>
        </w:rPr>
        <w:t xml:space="preserve">FORMATION PROFESSIONNELLE</w:t>
      </w:r>
    </w:p>
    <w:p>
      <w:pPr>
        <w:spacing w:before="180"/>
        <w:jc w:val="center"/>
      </w:pPr>
      <w:r>
        <w:rPr>
          <w:rFonts w:ascii="Calibri" w:cs="Calibri" w:eastAsia="Calibri" w:hAnsi="Calibri"/>
          <w:b/>
          <w:bCs/>
          <w:color w:val="C0392B"/>
          <w:sz w:val="26"/>
          <w:szCs w:val="26"/>
        </w:rPr>
        <w:t xml:space="preserve">MODULE 05 — Massage Percussif &amp; EMS</w:t>
      </w:r>
    </w:p>
    <w:p>
      <w:pPr>
        <w:spacing w:before="110"/>
        <w:jc w:val="center"/>
      </w:pPr>
      <w:r>
        <w:rPr>
          <w:rFonts w:ascii="Calibri" w:cs="Calibri" w:eastAsia="Calibri" w:hAnsi="Calibri"/>
          <w:i/>
          <w:iCs/>
          <w:color w:val="666666"/>
          <w:sz w:val="22"/>
          <w:szCs w:val="22"/>
        </w:rPr>
        <w:t xml:space="preserve">"Libérer les muscles en profondeur"</w:t>
      </w:r>
    </w:p>
    <w:p>
      <w:pPr>
        <w:spacing w:before="560"/>
      </w:pPr>
      <w:r>
        <w:t xml:space="preserve"/>
      </w:r>
    </w:p>
    <w:p>
      <w:pPr>
        <w:jc w:val="center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Urban Media Design SARL · rekover.ma · Juillet 2026</w:t>
      </w:r>
    </w:p>
    <w:p>
      <w:r>
        <w:br w:type="page"/>
      </w:r>
    </w:p>
    <w:p>
      <w:pPr>
        <w:pBdr>
          <w:bottom w:val="single" w:color="C0392B" w:sz="8"/>
        </w:pBdr>
        <w:spacing w:after="220" w:before="440"/>
      </w:pPr>
      <w:r>
        <w:rPr>
          <w:rFonts w:ascii="Calibri" w:cs="Calibri" w:eastAsia="Calibri" w:hAnsi="Calibri"/>
          <w:b/>
          <w:bCs/>
          <w:color w:val="C0392B"/>
          <w:sz w:val="38"/>
          <w:szCs w:val="38"/>
        </w:rPr>
        <w:t xml:space="preserve">PARTIE 1 — Le massage percussif : science et technique</w:t>
      </w:r>
    </w:p>
    <w:p>
      <w:pPr>
        <w:spacing w:after="70" w:before="70"/>
        <w:ind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2"/>
          <w:szCs w:val="22"/>
        </w:rPr>
        <w:t xml:space="preserve">Le pistolet de massage percussif envoie des percussions rapides (1 400 à 3 200 par minute) sur les tissus musculaires. Ces percussions agissent sur le fascia — la membrane conjonctive qui enveloppe chaque muscle.</w:t>
      </w:r>
    </w:p>
    <w:p>
      <w:pPr>
        <w:spacing w:after="140" w:before="320"/>
      </w:pPr>
      <w:r>
        <w:rPr>
          <w:rFonts w:ascii="Calibri" w:cs="Calibri" w:eastAsia="Calibri" w:hAnsi="Calibri"/>
          <w:b/>
          <w:bCs/>
          <w:color w:val="C0392B"/>
          <w:sz w:val="26"/>
          <w:szCs w:val="26"/>
        </w:rPr>
        <w:t xml:space="preserve">3 mécanismes d'action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① Libération myofasciale — La pression répétée dénoue les adhérences du fascia, restaurant la glissement normal entre les couches tissulaires.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② Inhibition autogène de Golgi — La percussion active les organes tendineux de Golgi qui envoient un signal de relâchement musculaire. Identique à ce qu'un masseur cherche à déclencher manuellement.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③ Augmentation de la circulation locale — La compression/décompression rapide crée un afflux sanguin dans la zone traitée.</w:t>
      </w:r>
    </w:p>
    <w:p>
      <w:pPr>
        <w:spacing w:after="140" w:before="320"/>
      </w:pPr>
      <w:r>
        <w:rPr>
          <w:rFonts w:ascii="Calibri" w:cs="Calibri" w:eastAsia="Calibri" w:hAnsi="Calibri"/>
          <w:b/>
          <w:bCs/>
          <w:color w:val="C0392B"/>
          <w:sz w:val="26"/>
          <w:szCs w:val="26"/>
        </w:rPr>
        <w:t xml:space="preserve">Protocoles par zone musculaire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C0392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Zone</w:t>
            </w:r>
          </w:p>
        </w:tc>
        <w:tc>
          <w:tcPr>
            <w:shd w:fill="C0392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Tête recommandée</w:t>
            </w:r>
          </w:p>
        </w:tc>
        <w:tc>
          <w:tcPr>
            <w:shd w:fill="C0392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shd w:fill="C0392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Technique</w:t>
            </w:r>
          </w:p>
        </w:tc>
      </w:tr>
      <w:tr>
        <w:tc>
          <w:tcPr>
            <w:shd w:fill="F5F5F5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Quadriceps</w:t>
            </w:r>
          </w:p>
        </w:tc>
        <w:tc>
          <w:tcPr>
            <w:shd w:fill="F5F5F5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Tête plate large</w:t>
            </w:r>
          </w:p>
        </w:tc>
        <w:tc>
          <w:tcPr>
            <w:shd w:fill="F5F5F5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60–90 sec/côté</w:t>
            </w:r>
          </w:p>
        </w:tc>
        <w:tc>
          <w:tcPr>
            <w:shd w:fill="F5F5F5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Roulement lent, pause sur points sensibles</w:t>
            </w:r>
          </w:p>
        </w:tc>
      </w:tr>
      <w:tr>
        <w:tc>
          <w:tcPr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Ischio-jambiers</w:t>
            </w:r>
          </w:p>
        </w:tc>
        <w:tc>
          <w:tcPr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Tête ronde</w:t>
            </w:r>
          </w:p>
        </w:tc>
        <w:tc>
          <w:tcPr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60 sec/côté</w:t>
            </w:r>
          </w:p>
        </w:tc>
        <w:tc>
          <w:tcPr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De l'ischion vers le genou</w:t>
            </w:r>
          </w:p>
        </w:tc>
      </w:tr>
      <w:tr>
        <w:tc>
          <w:tcPr>
            <w:shd w:fill="F5F5F5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Mollets</w:t>
            </w:r>
          </w:p>
        </w:tc>
        <w:tc>
          <w:tcPr>
            <w:shd w:fill="F5F5F5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Tête ronde</w:t>
            </w:r>
          </w:p>
        </w:tc>
        <w:tc>
          <w:tcPr>
            <w:shd w:fill="F5F5F5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60 sec/côté</w:t>
            </w:r>
          </w:p>
        </w:tc>
        <w:tc>
          <w:tcPr>
            <w:shd w:fill="F5F5F5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De la cheville vers le creux poplité</w:t>
            </w:r>
          </w:p>
        </w:tc>
      </w:tr>
      <w:tr>
        <w:tc>
          <w:tcPr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Trapèzes</w:t>
            </w:r>
          </w:p>
        </w:tc>
        <w:tc>
          <w:tcPr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Tête fourche</w:t>
            </w:r>
          </w:p>
        </w:tc>
        <w:tc>
          <w:tcPr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45 sec/côté</w:t>
            </w:r>
          </w:p>
        </w:tc>
        <w:tc>
          <w:tcPr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Éviter la colonne vertébrale</w:t>
            </w:r>
          </w:p>
        </w:tc>
      </w:tr>
      <w:tr>
        <w:tc>
          <w:tcPr>
            <w:shd w:fill="F5F5F5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Fessiers</w:t>
            </w:r>
          </w:p>
        </w:tc>
        <w:tc>
          <w:tcPr>
            <w:shd w:fill="F5F5F5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Tête plate</w:t>
            </w:r>
          </w:p>
        </w:tc>
        <w:tc>
          <w:tcPr>
            <w:shd w:fill="F5F5F5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60 sec/côté</w:t>
            </w:r>
          </w:p>
        </w:tc>
        <w:tc>
          <w:tcPr>
            <w:shd w:fill="F5F5F5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Mouvement circulaire</w:t>
            </w:r>
          </w:p>
        </w:tc>
      </w:tr>
      <w:tr>
        <w:tc>
          <w:tcPr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Avant-bras</w:t>
            </w:r>
          </w:p>
        </w:tc>
        <w:tc>
          <w:tcPr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Tête bullet</w:t>
            </w:r>
          </w:p>
        </w:tc>
        <w:tc>
          <w:tcPr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30 sec/côté</w:t>
            </w:r>
          </w:p>
        </w:tc>
        <w:tc>
          <w:tcPr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Joueurs de padel, tennis</w:t>
            </w:r>
          </w:p>
        </w:tc>
      </w:tr>
    </w:tbl>
    <w:p>
      <w:r>
        <w:br w:type="page"/>
      </w:r>
    </w:p>
    <w:p>
      <w:pPr>
        <w:pBdr>
          <w:bottom w:val="single" w:color="C0392B" w:sz="8"/>
        </w:pBdr>
        <w:spacing w:after="220" w:before="440"/>
      </w:pPr>
      <w:r>
        <w:rPr>
          <w:rFonts w:ascii="Calibri" w:cs="Calibri" w:eastAsia="Calibri" w:hAnsi="Calibri"/>
          <w:b/>
          <w:bCs/>
          <w:color w:val="C0392B"/>
          <w:sz w:val="38"/>
          <w:szCs w:val="38"/>
        </w:rPr>
        <w:t xml:space="preserve">PARTIE 2 — L'EMS et le TENS</w:t>
      </w:r>
    </w:p>
    <w:p>
      <w:pPr>
        <w:spacing w:after="140" w:before="320"/>
      </w:pPr>
      <w:r>
        <w:rPr>
          <w:rFonts w:ascii="Calibri" w:cs="Calibri" w:eastAsia="Calibri" w:hAnsi="Calibri"/>
          <w:b/>
          <w:bCs/>
          <w:color w:val="C0392B"/>
          <w:sz w:val="26"/>
          <w:szCs w:val="26"/>
        </w:rPr>
        <w:t xml:space="preserve">EMS (Electrical Muscle Stimulation)</w:t>
      </w:r>
    </w:p>
    <w:p>
      <w:pPr>
        <w:spacing w:after="70" w:before="70"/>
        <w:ind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2"/>
          <w:szCs w:val="22"/>
        </w:rPr>
        <w:t xml:space="preserve">Stimule directement les fibres musculaires via des électrodes. Provoque des contractions involontaires identiques à un effort volontaire. Utilisé pour la récupération active (10–20 Hz) ou le renforcement musculaire (50–120 Hz).</w:t>
      </w:r>
    </w:p>
    <w:p>
      <w:pPr>
        <w:spacing w:after="140" w:before="320"/>
      </w:pPr>
      <w:r>
        <w:rPr>
          <w:rFonts w:ascii="Calibri" w:cs="Calibri" w:eastAsia="Calibri" w:hAnsi="Calibri"/>
          <w:b/>
          <w:bCs/>
          <w:color w:val="C0392B"/>
          <w:sz w:val="26"/>
          <w:szCs w:val="26"/>
        </w:rPr>
        <w:t xml:space="preserve">TENS (Transcutaneous Electrical Nerve Stimulation)</w:t>
      </w:r>
    </w:p>
    <w:p>
      <w:pPr>
        <w:spacing w:after="70" w:before="70"/>
        <w:ind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2"/>
          <w:szCs w:val="22"/>
        </w:rPr>
        <w:t xml:space="preserve">Agit sur les fibres nerveuses pour bloquer les signaux de douleur. Principe du portillon de la douleur (gate control theory). Effet analgésique pendant 2 à 6 heures post-séance.</w:t>
      </w:r>
    </w:p>
    <w:p>
      <w:pPr>
        <w:spacing w:after="140" w:before="320"/>
      </w:pPr>
      <w:r>
        <w:rPr>
          <w:rFonts w:ascii="Calibri" w:cs="Calibri" w:eastAsia="Calibri" w:hAnsi="Calibri"/>
          <w:b/>
          <w:bCs/>
          <w:color w:val="C0392B"/>
          <w:sz w:val="26"/>
          <w:szCs w:val="26"/>
        </w:rPr>
        <w:t xml:space="preserve">Différence clé à retenir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EMS → agit sur les muscles (performance et récupération)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TENS → agit sur les nerfs (gestion de la douleur)</w:t>
      </w:r>
    </w:p>
    <w:p>
      <w:r>
        <w:br w:type="page"/>
      </w:r>
    </w:p>
    <w:p>
      <w:pPr>
        <w:pBdr>
          <w:bottom w:val="single" w:color="C0392B" w:sz="8"/>
        </w:pBdr>
        <w:spacing w:after="220" w:before="440"/>
      </w:pPr>
      <w:r>
        <w:rPr>
          <w:rFonts w:ascii="Calibri" w:cs="Calibri" w:eastAsia="Calibri" w:hAnsi="Calibri"/>
          <w:b/>
          <w:bCs/>
          <w:color w:val="C0392B"/>
          <w:sz w:val="38"/>
          <w:szCs w:val="38"/>
        </w:rPr>
        <w:t xml:space="preserve">PARTIE 3 — Arguments de vente</w:t>
      </w:r>
    </w:p>
    <w:p>
      <w:pPr>
        <w:spacing w:after="140" w:before="320"/>
      </w:pPr>
      <w:r>
        <w:rPr>
          <w:rFonts w:ascii="Calibri" w:cs="Calibri" w:eastAsia="Calibri" w:hAnsi="Calibri"/>
          <w:b/>
          <w:bCs/>
          <w:color w:val="C0392B"/>
          <w:sz w:val="26"/>
          <w:szCs w:val="26"/>
        </w:rPr>
        <w:t xml:space="preserve">Pour un kinésithérapeute</w:t>
      </w:r>
    </w:p>
    <w:tbl>
      <w:tblPr>
        <w:tblW w:type="dxa" w:w="9500"/>
        <w:tblBorders>
          <w:top w:val="none"/>
          <w:left w:val="thick" w:color="C0392B" w:sz="22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9500"/>
            <w:shd w:fill="FFF5F5" w:val="clear"/>
            <w:tcMar>
              <w:top w:type="dxa" w:w="110"/>
              <w:left w:type="dxa" w:w="200"/>
              <w:bottom w:type="dxa" w:w="110"/>
              <w:right w:type="dxa" w:w="11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1A1A1A"/>
                <w:sz w:val="22"/>
                <w:szCs w:val="22"/>
              </w:rPr>
              <w:t xml:space="preserve">"Le pistolet de massage prépare vos tissus en 3 à 5 minutes avant votre manipulation. Vous travaillez sur un muscle déjà dénoué — moins de résistance, travail plus profond, patient moins douloureux. Et le TENS post-séance maintient l'effet analgésique 4 heures."</w:t>
            </w:r>
          </w:p>
        </w:tc>
      </w:tr>
    </w:tbl>
    <w:p>
      <w:pPr>
        <w:spacing w:after="140" w:before="320"/>
      </w:pPr>
      <w:r>
        <w:rPr>
          <w:rFonts w:ascii="Calibri" w:cs="Calibri" w:eastAsia="Calibri" w:hAnsi="Calibri"/>
          <w:b/>
          <w:bCs/>
          <w:color w:val="C0392B"/>
          <w:sz w:val="26"/>
          <w:szCs w:val="26"/>
        </w:rPr>
        <w:t xml:space="preserve">Pour un club sans personnel médical</w:t>
      </w:r>
    </w:p>
    <w:tbl>
      <w:tblPr>
        <w:tblW w:type="dxa" w:w="9500"/>
        <w:tblBorders>
          <w:top w:val="none"/>
          <w:left w:val="thick" w:color="C0392B" w:sz="22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9500"/>
            <w:shd w:fill="FFF5F5" w:val="clear"/>
            <w:tcMar>
              <w:top w:type="dxa" w:w="110"/>
              <w:left w:type="dxa" w:w="200"/>
              <w:bottom w:type="dxa" w:w="110"/>
              <w:right w:type="dxa" w:w="11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1A1A1A"/>
                <w:sz w:val="22"/>
                <w:szCs w:val="22"/>
              </w:rPr>
              <w:t xml:space="preserve">"Vos membres peuvent utiliser le pistolet en autonomie après leur session. On leur montre les 3 zones clés en 5 minutes et ils gèrent seuls. C'est du service premium en self-service."</w:t>
            </w:r>
          </w:p>
        </w:tc>
      </w:tr>
    </w:tbl>
    <w:p>
      <w:r>
        <w:br w:type="page"/>
      </w:r>
    </w:p>
    <w:p>
      <w:pPr>
        <w:pBdr>
          <w:bottom w:val="single" w:color="C0392B" w:sz="8"/>
        </w:pBdr>
        <w:spacing w:after="220" w:before="440"/>
      </w:pPr>
      <w:r>
        <w:rPr>
          <w:rFonts w:ascii="Calibri" w:cs="Calibri" w:eastAsia="Calibri" w:hAnsi="Calibri"/>
          <w:b/>
          <w:bCs/>
          <w:color w:val="C0392B"/>
          <w:sz w:val="38"/>
          <w:szCs w:val="38"/>
        </w:rPr>
        <w:t xml:space="preserve">TEST DE COMPRÉHENSION</w:t>
      </w:r>
    </w:p>
    <w:p>
      <w:pPr>
        <w:spacing w:after="70" w:before="70"/>
        <w:ind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2"/>
          <w:szCs w:val="22"/>
        </w:rPr>
        <w:t xml:space="preserve">Répondez à ces questions sans regarder vos notes :</w:t>
      </w:r>
    </w:p>
    <w:p>
      <w:pPr>
        <w:spacing w:before="140"/>
      </w:pP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Quelle est la différence entre EMS et TENS ?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Qu'est-ce que l'inhibition autogène de Golgi ?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Citez 3 zones musculaires et leur protocole d'application.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Pourquoi le pistolet de massage est-il idéal avant une séance de kiné ?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Comment le vendez-vous à un club sans personnel médical ?</w:t>
      </w:r>
    </w:p>
    <w:p>
      <w:pPr>
        <w:spacing w:before="220"/>
      </w:pPr>
    </w:p>
    <w:p>
      <w:pPr>
        <w:pBdr>
          <w:bottom w:val="single" w:color="C0392B" w:sz="6"/>
        </w:pBdr>
        <w:spacing w:after="220" w:before="220"/>
      </w:pPr>
      <w:r>
        <w:t xml:space="preserve"/>
      </w:r>
    </w:p>
    <w:p>
      <w:pPr>
        <w:spacing w:before="110"/>
        <w:jc w:val="center"/>
      </w:pPr>
      <w:r>
        <w:rPr>
          <w:rFonts w:ascii="Calibri" w:cs="Calibri" w:eastAsia="Calibri" w:hAnsi="Calibri"/>
          <w:color w:val="666666"/>
          <w:sz w:val="17"/>
          <w:szCs w:val="17"/>
        </w:rPr>
        <w:t xml:space="preserve">REKOVER · Formation professionnelle · Confidentiel · rekover.ma</w:t>
      </w:r>
    </w:p>
    <w:sectPr>
      <w:pgSz w:w="11906" w:h="16838" w:orient="portrait"/>
      <w:pgMar w:top="1100" w:right="1100" w:bottom="11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2026-08-04T06:55:43.472Z</dcterms:created>
  <dcterms:modified xsi:type="dcterms:W3CDTF">2026-08-04T06:55:43.472Z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