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40"/>
      </w:pPr>
      <w:r>
        <w:rPr>
          <w:sz w:val="72"/>
          <w:szCs w:val="72"/>
        </w:rPr>
        <w:t xml:space="preserve"/>
      </w:r>
    </w:p>
    <w:p>
      <w:pPr>
        <w:jc w:val="center"/>
      </w:pPr>
      <w:r>
        <w:rPr>
          <w:rFonts w:ascii="Calibri" w:cs="Calibri" w:eastAsia="Calibri" w:hAnsi="Calibri"/>
          <w:b/>
          <w:bCs/>
          <w:color w:val="C0392B"/>
          <w:sz w:val="80"/>
          <w:szCs w:val="80"/>
        </w:rPr>
        <w:t xml:space="preserve">REKOVER</w:t>
      </w:r>
    </w:p>
    <w:p>
      <w:pPr>
        <w:spacing w:before="160"/>
        <w:jc w:val="center"/>
      </w:pPr>
      <w:r>
        <w:rPr>
          <w:rFonts w:ascii="Calibri" w:cs="Calibri" w:eastAsia="Calibri" w:hAnsi="Calibri"/>
          <w:b/>
          <w:bCs/>
          <w:color w:val="1A1A1A"/>
          <w:sz w:val="32"/>
          <w:szCs w:val="32"/>
        </w:rPr>
        <w:t xml:space="preserve">FORMATION PROFESSIONNELLE</w:t>
      </w:r>
    </w:p>
    <w:p>
      <w:pPr>
        <w:spacing w:before="200"/>
        <w:jc w:val="center"/>
      </w:pPr>
      <w:r>
        <w:rPr>
          <w:rFonts w:ascii="Calibri" w:cs="Calibri" w:eastAsia="Calibri" w:hAnsi="Calibri"/>
          <w:b/>
          <w:bCs/>
          <w:color w:val="C0392B"/>
          <w:sz w:val="28"/>
          <w:szCs w:val="28"/>
        </w:rPr>
        <w:t xml:space="preserve">MODULE 2 — Red Light Therapy en profondeur</w:t>
      </w:r>
    </w:p>
    <w:p>
      <w:pPr>
        <w:spacing w:before="120"/>
        <w:jc w:val="center"/>
      </w:pPr>
      <w:r>
        <w:rPr>
          <w:rFonts w:ascii="Calibri" w:cs="Calibri" w:eastAsia="Calibri" w:hAnsi="Calibri"/>
          <w:i/>
          <w:iCs/>
          <w:color w:val="666666"/>
          <w:sz w:val="24"/>
          <w:szCs w:val="24"/>
        </w:rPr>
        <w:t xml:space="preserve">"La lumière qui répare les cellules"</w:t>
      </w:r>
    </w:p>
    <w:p>
      <w:pPr>
        <w:spacing w:before="600"/>
      </w:pPr>
      <w:r>
        <w:t xml:space="preserve"/>
      </w:r>
    </w:p>
    <w:p>
      <w:pPr>
        <w:jc w:val="center"/>
      </w:pPr>
      <w:r>
        <w:rPr>
          <w:rFonts w:ascii="Calibri" w:cs="Calibri" w:eastAsia="Calibri" w:hAnsi="Calibri"/>
          <w:color w:val="666666"/>
          <w:sz w:val="20"/>
          <w:szCs w:val="20"/>
        </w:rPr>
        <w:t xml:space="preserve">Urban Media Design SARL · rekover.ma · Juillet 2026</w:t>
      </w:r>
    </w:p>
    <w:p>
      <w:r>
        <w:br w:type="page"/>
      </w:r>
    </w:p>
    <w:p>
      <w:pPr>
        <w:pBdr>
          <w:bottom w:val="single" w:color="C0392B" w:sz="8"/>
        </w:pBdr>
        <w:spacing w:after="240" w:before="480"/>
      </w:pPr>
      <w:r>
        <w:rPr>
          <w:rFonts w:ascii="Calibri" w:cs="Calibri" w:eastAsia="Calibri" w:hAnsi="Calibri"/>
          <w:b/>
          <w:bCs/>
          <w:color w:val="C0392B"/>
          <w:sz w:val="40"/>
          <w:szCs w:val="40"/>
        </w:rPr>
        <w:t xml:space="preserve">Pourquoi ce module est le plus important</w:t>
      </w:r>
    </w:p>
    <w:p>
      <w:pPr>
        <w:spacing w:after="80" w:before="80"/>
        <w:ind/>
      </w:pPr>
      <w:r>
        <w:rPr>
          <w:rFonts w:ascii="Calibri" w:cs="Calibri" w:eastAsia="Calibri" w:hAnsi="Calibri"/>
          <w:b w:val="false"/>
          <w:bCs w:val="false"/>
          <w:i w:val="false"/>
          <w:iCs w:val="false"/>
          <w:color w:val="1A1A1A"/>
          <w:sz w:val="22"/>
          <w:szCs w:val="22"/>
        </w:rPr>
        <w:t xml:space="preserve">La Red Light Therapy est votre produit d'appel N°1. C'est la première technologie que vous allez présenter, la première que les clients verront, et la première qu'ils vont tester. Si vous maîtrisez ce module parfaitement, vous allez vendre.</w:t>
      </w:r>
    </w:p>
    <w:p>
      <w:pPr>
        <w:spacing w:after="80" w:before="80"/>
        <w:ind/>
      </w:pPr>
      <w:r>
        <w:rPr>
          <w:rFonts w:ascii="Calibri" w:cs="Calibri" w:eastAsia="Calibri" w:hAnsi="Calibri"/>
          <w:b w:val="false"/>
          <w:bCs w:val="false"/>
          <w:i w:val="false"/>
          <w:iCs w:val="false"/>
          <w:color w:val="1A1A1A"/>
          <w:sz w:val="22"/>
          <w:szCs w:val="22"/>
        </w:rPr>
        <w:t xml:space="preserve">De plus, la RLT est la technologie qui génère le plus de questions et de scepticisme. "La lumière rouge ? Sérieusement ?" — vous allez entendre ça souvent. Ce module vous donne les réponses qui transforment le sceptique en client.</w:t>
      </w:r>
    </w:p>
    <w:p>
      <w:r>
        <w:br w:type="page"/>
      </w:r>
    </w:p>
    <w:p>
      <w:pPr>
        <w:pBdr>
          <w:bottom w:val="single" w:color="C0392B" w:sz="8"/>
        </w:pBdr>
        <w:spacing w:after="240" w:before="480"/>
      </w:pPr>
      <w:r>
        <w:rPr>
          <w:rFonts w:ascii="Calibri" w:cs="Calibri" w:eastAsia="Calibri" w:hAnsi="Calibri"/>
          <w:b/>
          <w:bCs/>
          <w:color w:val="C0392B"/>
          <w:sz w:val="40"/>
          <w:szCs w:val="40"/>
        </w:rPr>
        <w:t xml:space="preserve">PARTIE 1 — Qu'est-ce que la Red Light Therapy ?</w:t>
      </w:r>
    </w:p>
    <w:p>
      <w:pPr>
        <w:spacing w:after="160" w:before="360"/>
      </w:pPr>
      <w:r>
        <w:rPr>
          <w:rFonts w:ascii="Calibri" w:cs="Calibri" w:eastAsia="Calibri" w:hAnsi="Calibri"/>
          <w:b/>
          <w:bCs/>
          <w:color w:val="C0392B"/>
          <w:sz w:val="28"/>
          <w:szCs w:val="28"/>
        </w:rPr>
        <w:t xml:space="preserve">La définition simple</w:t>
      </w:r>
    </w:p>
    <w:p>
      <w:pPr>
        <w:spacing w:after="80" w:before="80"/>
        <w:ind/>
      </w:pPr>
      <w:r>
        <w:rPr>
          <w:rFonts w:ascii="Calibri" w:cs="Calibri" w:eastAsia="Calibri" w:hAnsi="Calibri"/>
          <w:b w:val="false"/>
          <w:bCs w:val="false"/>
          <w:i w:val="false"/>
          <w:iCs w:val="false"/>
          <w:color w:val="1A1A1A"/>
          <w:sz w:val="22"/>
          <w:szCs w:val="22"/>
        </w:rPr>
        <w:t xml:space="preserve">La Red Light Therapy (RLT), également appelée photobiomodulation dans les milieux scientifiques, consiste à exposer le corps à des longueurs d'onde spécifiques de lumière rouge et infrarouge proche. Ces longueurs d'onde — entre 630 et 850 nanomètres — pénètrent la peau et agissent directement sur les cellules.</w:t>
      </w:r>
    </w:p>
    <w:p>
      <w:pPr>
        <w:spacing w:after="100" w:before="240"/>
      </w:pPr>
      <w:r>
        <w:rPr>
          <w:rFonts w:ascii="Calibri" w:cs="Calibri" w:eastAsia="Calibri" w:hAnsi="Calibri"/>
          <w:b/>
          <w:bCs/>
          <w:color w:val="1A1A1A"/>
          <w:sz w:val="24"/>
          <w:szCs w:val="24"/>
        </w:rPr>
        <w:t xml:space="preserve">La métaphore à utiliser avec vos clients</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"Vous connaissez l'effet de la lumière du soleil sur les plantes ? Elle leur fournit l'énergie dont elles ont besoin pour se développer. La Red Light Therapy fait exactement la même chose avec vos cellules musculaires — elle leur fournit de l'énergie pour se réparer plus vite."</w:t>
            </w:r>
          </w:p>
        </w:tc>
      </w:tr>
    </w:tbl>
    <w:p>
      <w:pPr>
        <w:spacing w:after="160" w:before="360"/>
      </w:pPr>
      <w:r>
        <w:rPr>
          <w:rFonts w:ascii="Calibri" w:cs="Calibri" w:eastAsia="Calibri" w:hAnsi="Calibri"/>
          <w:b/>
          <w:bCs/>
          <w:color w:val="C0392B"/>
          <w:sz w:val="28"/>
          <w:szCs w:val="28"/>
        </w:rPr>
        <w:t xml:space="preserve">Ce que la RLT n'est PAS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 Ce n'est pas la lumière UV (qui brûle la peau et cause des cancers)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 Ce n'est pas un laser (pas de chaleur intense, pas de risque cutané)</w:t>
      </w:r>
    </w:p>
    <w:p>
      <w:pPr>
        <w:pStyle w:val="ListParagraph"/>
        <w:numPr>
          <w:ilvl w:val="0"/>
          <w:numId w:val="1"/>
        </w:numPr>
        <w:spacing w:after="60" w:before="60"/>
        <w:ind w:left="720" w:hanging="360"/>
      </w:pPr>
      <w:r>
        <w:rPr>
          <w:rFonts w:ascii="Calibri" w:cs="Calibri" w:eastAsia="Calibri" w:hAnsi="Calibri"/>
          <w:color w:val="1A1A1A"/>
          <w:sz w:val="22"/>
          <w:szCs w:val="22"/>
        </w:rPr>
        <w:t xml:space="preserve">❌ Ce n'est pas de la chromothérapie (pas de pseudoscience — c'est validé cliniquement)</w:t>
      </w:r>
    </w:p>
    <w:p>
      <w:pPr>
        <w:pStyle w:val="ListParagraph"/>
        <w:numPr>
          <w:ilvl w:val="0"/>
          <w:numId w:val="1"/>
        </w:numPr>
        <w:spacing w:after="60" w:before="60"/>
        <w:ind w:left="720" w:hanging="360"/>
      </w:pPr>
      <w:r>
        <w:rPr>
          <w:rFonts w:ascii="Calibri" w:cs="Calibri" w:eastAsia="Calibri" w:hAnsi="Calibri"/>
          <w:color w:val="1A1A1A"/>
          <w:sz w:val="22"/>
          <w:szCs w:val="22"/>
        </w:rPr>
        <w:t xml:space="preserve">❌ Ce n'est pas du bronzage (aucun effet sur la mélanine)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 C'est de la lumière thérapeutique à longueur d'onde spécifique, validée par 5 000+ études publiées sur PubMed</w:t>
      </w:r>
    </w:p>
    <w:p>
      <w:r>
        <w:br w:type="page"/>
      </w:r>
    </w:p>
    <w:p>
      <w:pPr>
        <w:pBdr>
          <w:bottom w:val="single" w:color="C0392B" w:sz="8"/>
        </w:pBdr>
        <w:spacing w:after="240" w:before="480"/>
      </w:pPr>
      <w:r>
        <w:rPr>
          <w:rFonts w:ascii="Calibri" w:cs="Calibri" w:eastAsia="Calibri" w:hAnsi="Calibri"/>
          <w:b/>
          <w:bCs/>
          <w:color w:val="C0392B"/>
          <w:sz w:val="40"/>
          <w:szCs w:val="40"/>
        </w:rPr>
        <w:t xml:space="preserve">PARTIE 2 — Le mécanisme scientifique</w:t>
      </w:r>
    </w:p>
    <w:p>
      <w:pPr>
        <w:spacing w:after="160" w:before="360"/>
      </w:pPr>
      <w:r>
        <w:rPr>
          <w:rFonts w:ascii="Calibri" w:cs="Calibri" w:eastAsia="Calibri" w:hAnsi="Calibri"/>
          <w:b/>
          <w:bCs/>
          <w:color w:val="C0392B"/>
          <w:sz w:val="28"/>
          <w:szCs w:val="28"/>
        </w:rPr>
        <w:t xml:space="preserve">Le processus en 4 étapes</w:t>
      </w:r>
    </w:p>
    <w:p>
      <w:pPr>
        <w:spacing w:after="100" w:before="240"/>
      </w:pPr>
      <w:r>
        <w:rPr>
          <w:rFonts w:ascii="Calibri" w:cs="Calibri" w:eastAsia="Calibri" w:hAnsi="Calibri"/>
          <w:b/>
          <w:bCs/>
          <w:color w:val="1A1A1A"/>
          <w:sz w:val="24"/>
          <w:szCs w:val="24"/>
        </w:rPr>
        <w:t xml:space="preserve">Étape 1 — La lumière pénètre les tissus</w:t>
      </w:r>
    </w:p>
    <w:p>
      <w:pPr>
        <w:spacing w:after="80" w:before="80"/>
        <w:ind/>
      </w:pPr>
      <w:r>
        <w:rPr>
          <w:rFonts w:ascii="Calibri" w:cs="Calibri" w:eastAsia="Calibri" w:hAnsi="Calibri"/>
          <w:b w:val="false"/>
          <w:bCs w:val="false"/>
          <w:i w:val="false"/>
          <w:iCs w:val="false"/>
          <w:color w:val="1A1A1A"/>
          <w:sz w:val="22"/>
          <w:szCs w:val="22"/>
        </w:rPr>
        <w:t xml:space="preserve">Les longueurs d'onde rouge (630–670 nm) pénètrent jusqu'à 5–8 mm sous la peau. Les longueurs d'onde infrarouge proche (810–850 nm) pénètrent jusqu'à 20–30 mm — atteignant les muscles, les tendons et même les os.</w:t>
      </w:r>
    </w:p>
    <w:p>
      <w:pPr>
        <w:spacing w:after="100" w:before="240"/>
      </w:pPr>
      <w:r>
        <w:rPr>
          <w:rFonts w:ascii="Calibri" w:cs="Calibri" w:eastAsia="Calibri" w:hAnsi="Calibri"/>
          <w:b/>
          <w:bCs/>
          <w:color w:val="1A1A1A"/>
          <w:sz w:val="24"/>
          <w:szCs w:val="24"/>
        </w:rPr>
        <w:t xml:space="preserve">Étape 2 — Absorption par les mitochondries</w:t>
      </w:r>
    </w:p>
    <w:p>
      <w:pPr>
        <w:spacing w:after="80" w:before="80"/>
        <w:ind/>
      </w:pPr>
      <w:r>
        <w:rPr>
          <w:rFonts w:ascii="Calibri" w:cs="Calibri" w:eastAsia="Calibri" w:hAnsi="Calibri"/>
          <w:b w:val="false"/>
          <w:bCs w:val="false"/>
          <w:i w:val="false"/>
          <w:iCs w:val="false"/>
          <w:color w:val="1A1A1A"/>
          <w:sz w:val="22"/>
          <w:szCs w:val="22"/>
        </w:rPr>
        <w:t xml:space="preserve">À l'intérieur de chaque cellule, les mitochondries (les "centrales énergétiques") contiennent un enzyme appelé cytochrome c oxydase. Cet enzyme absorbe spécifiquement les longueurs d'onde rouge et infrarouge — comme une antenne réglée sur une fréquence précise.</w:t>
      </w:r>
    </w:p>
    <w:p>
      <w:pPr>
        <w:spacing w:after="100" w:before="240"/>
      </w:pPr>
      <w:r>
        <w:rPr>
          <w:rFonts w:ascii="Calibri" w:cs="Calibri" w:eastAsia="Calibri" w:hAnsi="Calibri"/>
          <w:b/>
          <w:bCs/>
          <w:color w:val="1A1A1A"/>
          <w:sz w:val="24"/>
          <w:szCs w:val="24"/>
        </w:rPr>
        <w:t xml:space="preserve">Étape 3 — Production d'ATP multipliée</w:t>
      </w:r>
    </w:p>
    <w:p>
      <w:pPr>
        <w:spacing w:after="80" w:before="80"/>
        <w:ind/>
      </w:pPr>
      <w:r>
        <w:rPr>
          <w:rFonts w:ascii="Calibri" w:cs="Calibri" w:eastAsia="Calibri" w:hAnsi="Calibri"/>
          <w:b w:val="false"/>
          <w:bCs w:val="false"/>
          <w:i w:val="false"/>
          <w:iCs w:val="false"/>
          <w:color w:val="1A1A1A"/>
          <w:sz w:val="22"/>
          <w:szCs w:val="22"/>
        </w:rPr>
        <w:t xml:space="preserve">L'absorption de la lumière par la cytochrome c oxydase déclenche une cascade biochimique qui augmente massivement la production d'ATP. Des études montrent une augmentation de 300 à 600% de la production d'ATP dans les cellules exposées.</w:t>
      </w:r>
    </w:p>
    <w:p>
      <w:pPr>
        <w:spacing w:after="100" w:before="240"/>
      </w:pPr>
      <w:r>
        <w:rPr>
          <w:rFonts w:ascii="Calibri" w:cs="Calibri" w:eastAsia="Calibri" w:hAnsi="Calibri"/>
          <w:b/>
          <w:bCs/>
          <w:color w:val="1A1A1A"/>
          <w:sz w:val="24"/>
          <w:szCs w:val="24"/>
        </w:rPr>
        <w:t xml:space="preserve">Étape 4 — Cascade de bénéfices</w:t>
      </w:r>
    </w:p>
    <w:p>
      <w:pPr>
        <w:spacing w:after="80" w:before="80"/>
        <w:ind/>
      </w:pPr>
      <w:r>
        <w:rPr>
          <w:rFonts w:ascii="Calibri" w:cs="Calibri" w:eastAsia="Calibri" w:hAnsi="Calibri"/>
          <w:b w:val="false"/>
          <w:bCs w:val="false"/>
          <w:i w:val="false"/>
          <w:iCs w:val="false"/>
          <w:color w:val="1A1A1A"/>
          <w:sz w:val="22"/>
          <w:szCs w:val="22"/>
        </w:rPr>
        <w:t xml:space="preserve">L'ATP supplémentaire permet aux cellules de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Se réparer plus vite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Réduire l'inflammation locale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Synthétiser plus de collagène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Améliorer la circulation locale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Réduire les radicaux libres (stress oxydatif)</w:t>
      </w:r>
    </w:p>
    <w:p>
      <w:pPr>
        <w:spacing w:before="160"/>
      </w:pPr>
    </w:p>
    <w:p>
      <w:pPr>
        <w:spacing w:after="100" w:before="240"/>
      </w:pPr>
      <w:r>
        <w:rPr>
          <w:rFonts w:ascii="Calibri" w:cs="Calibri" w:eastAsia="Calibri" w:hAnsi="Calibri"/>
          <w:b/>
          <w:bCs/>
          <w:color w:val="1A1A1A"/>
          <w:sz w:val="24"/>
          <w:szCs w:val="24"/>
        </w:rPr>
        <w:t xml:space="preserve">La métaphore de la batterie</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"Imaginez que chaque cellule de votre corps est une batterie. Après un effort intense, ces batteries sont déchargées. La Red Light Therapy, c'est le chargeur rapide — elle recharge les batteries cellulaires en 20 minutes au lieu de 72 heures."</w:t>
            </w:r>
          </w:p>
        </w:tc>
      </w:tr>
    </w:tbl>
    <w:p>
      <w:r>
        <w:br w:type="page"/>
      </w:r>
    </w:p>
    <w:p>
      <w:pPr>
        <w:pBdr>
          <w:bottom w:val="single" w:color="C0392B" w:sz="8"/>
        </w:pBdr>
        <w:spacing w:after="240" w:before="480"/>
      </w:pPr>
      <w:r>
        <w:rPr>
          <w:rFonts w:ascii="Calibri" w:cs="Calibri" w:eastAsia="Calibri" w:hAnsi="Calibri"/>
          <w:b/>
          <w:bCs/>
          <w:color w:val="C0392B"/>
          <w:sz w:val="40"/>
          <w:szCs w:val="40"/>
        </w:rPr>
        <w:t xml:space="preserve">PARTIE 3 — Ce que la science prouve</w:t>
      </w:r>
    </w:p>
    <w:p>
      <w:pPr>
        <w:spacing w:after="160" w:before="360"/>
      </w:pPr>
      <w:r>
        <w:rPr>
          <w:rFonts w:ascii="Calibri" w:cs="Calibri" w:eastAsia="Calibri" w:hAnsi="Calibri"/>
          <w:b/>
          <w:bCs/>
          <w:color w:val="C0392B"/>
          <w:sz w:val="28"/>
          <w:szCs w:val="28"/>
        </w:rPr>
        <w:t xml:space="preserve">Les études clés à connaître</w:t>
      </w:r>
    </w:p>
    <w:p>
      <w:pPr>
        <w:spacing w:after="80" w:before="80"/>
        <w:ind/>
      </w:pPr>
      <w:r>
        <w:rPr>
          <w:rFonts w:ascii="Calibri" w:cs="Calibri" w:eastAsia="Calibri" w:hAnsi="Calibri"/>
          <w:b w:val="false"/>
          <w:bCs w:val="false"/>
          <w:i w:val="false"/>
          <w:iCs w:val="false"/>
          <w:color w:val="1A1A1A"/>
          <w:sz w:val="22"/>
          <w:szCs w:val="22"/>
        </w:rPr>
        <w:t xml:space="preserve">Vous n'avez pas besoin de mémoriser des études entières. Vous avez besoin de 5 chiffres clés et de savoir mentionner "les études publiées sur PubMed" avec confiance.</w:t>
      </w:r>
    </w:p>
    <w:p>
      <w:pPr>
        <w:spacing w:before="160"/>
      </w:pP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C0392B" w:val="clear"/>
            <w:tcMar>
              <w:top w:type="dxa" w:w="80"/>
              <w:left w:type="dxa" w:w="120"/>
              <w:bottom w:type="dxa" w:w="80"/>
              <w:right w:type="dxa" w:w="120"/>
            </w:tcMar>
          </w:tcPr>
          <w:p>
            <w:r>
              <w:rPr>
                <w:rFonts w:ascii="Calibri" w:cs="Calibri" w:eastAsia="Calibri" w:hAnsi="Calibri"/>
                <w:b/>
                <w:bCs/>
                <w:color w:val="FFFFFF"/>
                <w:sz w:val="20"/>
                <w:szCs w:val="20"/>
              </w:rPr>
              <w:t xml:space="preserve">Application</w:t>
            </w:r>
          </w:p>
        </w:tc>
        <w:tc>
          <w:tcPr>
            <w:shd w:fill="C0392B" w:val="clear"/>
            <w:tcMar>
              <w:top w:type="dxa" w:w="80"/>
              <w:left w:type="dxa" w:w="120"/>
              <w:bottom w:type="dxa" w:w="80"/>
              <w:right w:type="dxa" w:w="120"/>
            </w:tcMar>
          </w:tcPr>
          <w:p>
            <w:r>
              <w:rPr>
                <w:rFonts w:ascii="Calibri" w:cs="Calibri" w:eastAsia="Calibri" w:hAnsi="Calibri"/>
                <w:b/>
                <w:bCs/>
                <w:color w:val="FFFFFF"/>
                <w:sz w:val="20"/>
                <w:szCs w:val="20"/>
              </w:rPr>
              <w:t xml:space="preserve">Résultat mesuré</w:t>
            </w:r>
          </w:p>
        </w:tc>
        <w:tc>
          <w:tcPr>
            <w:shd w:fill="C0392B" w:val="clear"/>
            <w:tcMar>
              <w:top w:type="dxa" w:w="80"/>
              <w:left w:type="dxa" w:w="120"/>
              <w:bottom w:type="dxa" w:w="80"/>
              <w:right w:type="dxa" w:w="120"/>
            </w:tcMar>
          </w:tcPr>
          <w:p>
            <w:r>
              <w:rPr>
                <w:rFonts w:ascii="Calibri" w:cs="Calibri" w:eastAsia="Calibri" w:hAnsi="Calibri"/>
                <w:b/>
                <w:bCs/>
                <w:color w:val="FFFFFF"/>
                <w:sz w:val="20"/>
                <w:szCs w:val="20"/>
              </w:rPr>
              <w:t xml:space="preserve">Publication</w:t>
            </w:r>
          </w:p>
        </w:tc>
      </w:tr>
      <w:tr>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Récupération musculaire post-effort</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–45% de fatigue perçue</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Journal of Athletic Training</w:t>
            </w:r>
          </w:p>
        </w:tc>
      </w:tr>
      <w:tr>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Douleur musculaire (DOMS)</w:t>
            </w:r>
          </w:p>
        </w:tc>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–50% après 48h</w:t>
            </w:r>
          </w:p>
        </w:tc>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Photomedicine &amp; Laser Surgery</w:t>
            </w:r>
          </w:p>
        </w:tc>
      </w:tr>
      <w:tr>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Inflammation</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Réduction cytokines pro-inflammatoires</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LLLT Research Group</w:t>
            </w:r>
          </w:p>
        </w:tc>
      </w:tr>
      <w:tr>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Cicatrisation</w:t>
            </w:r>
          </w:p>
        </w:tc>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2x plus rapide</w:t>
            </w:r>
          </w:p>
        </w:tc>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Wound Repair &amp; Regeneration</w:t>
            </w:r>
          </w:p>
        </w:tc>
      </w:tr>
      <w:tr>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Force musculaire</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+12% après 4 semaines</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Lasers in Medical Science</w:t>
            </w:r>
          </w:p>
        </w:tc>
      </w:tr>
      <w:tr>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Synthèse de collagène</w:t>
            </w:r>
          </w:p>
        </w:tc>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+40% production</w:t>
            </w:r>
          </w:p>
        </w:tc>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Journal of Dermatology</w:t>
            </w:r>
          </w:p>
        </w:tc>
      </w:tr>
    </w:tbl>
    <w:p>
      <w:pPr>
        <w:spacing w:after="160" w:before="360"/>
      </w:pPr>
      <w:r>
        <w:rPr>
          <w:rFonts w:ascii="Calibri" w:cs="Calibri" w:eastAsia="Calibri" w:hAnsi="Calibri"/>
          <w:b/>
          <w:bCs/>
          <w:color w:val="C0392B"/>
          <w:sz w:val="28"/>
          <w:szCs w:val="28"/>
        </w:rPr>
        <w:t xml:space="preserve">La validation NASA</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"La Red Light Therapy a été développée à l'origine par la NASA pour maintenir la masse musculaire des astronautes en apesanteur. Si c'est assez bon pour les astronautes, c'est assez bon pour vos joueurs de padel." → Cette phrase fonctionne à coup sûr avec les sceptiques.</w:t>
            </w:r>
          </w:p>
        </w:tc>
      </w:tr>
    </w:tbl>
    <w:p>
      <w:pPr>
        <w:spacing w:after="160" w:before="360"/>
      </w:pPr>
      <w:r>
        <w:rPr>
          <w:rFonts w:ascii="Calibri" w:cs="Calibri" w:eastAsia="Calibri" w:hAnsi="Calibri"/>
          <w:b/>
          <w:bCs/>
          <w:color w:val="C0392B"/>
          <w:sz w:val="28"/>
          <w:szCs w:val="28"/>
        </w:rPr>
        <w:t xml:space="preserve">La certification FDA</w:t>
      </w:r>
    </w:p>
    <w:p>
      <w:pPr>
        <w:spacing w:after="80" w:before="80"/>
        <w:ind/>
      </w:pPr>
      <w:r>
        <w:rPr>
          <w:rFonts w:ascii="Calibri" w:cs="Calibri" w:eastAsia="Calibri" w:hAnsi="Calibri"/>
          <w:b w:val="false"/>
          <w:bCs w:val="false"/>
          <w:i w:val="false"/>
          <w:iCs w:val="false"/>
          <w:color w:val="1A1A1A"/>
          <w:sz w:val="22"/>
          <w:szCs w:val="22"/>
        </w:rPr>
        <w:t xml:space="preserve">Aux États-Unis, la FDA a approuvé la photobiomodulation pour plusieurs usages thérapeutiques — douleurs musculaires, articulations, inflammation. C'est un argument de crédibilité majeur face aux clients médicaux (kinés, cliniques).</w:t>
      </w:r>
    </w:p>
    <w:p>
      <w:r>
        <w:br w:type="page"/>
      </w:r>
    </w:p>
    <w:p>
      <w:pPr>
        <w:pBdr>
          <w:bottom w:val="single" w:color="C0392B" w:sz="8"/>
        </w:pBdr>
        <w:spacing w:after="240" w:before="480"/>
      </w:pPr>
      <w:r>
        <w:rPr>
          <w:rFonts w:ascii="Calibri" w:cs="Calibri" w:eastAsia="Calibri" w:hAnsi="Calibri"/>
          <w:b/>
          <w:bCs/>
          <w:color w:val="C0392B"/>
          <w:sz w:val="40"/>
          <w:szCs w:val="40"/>
        </w:rPr>
        <w:t xml:space="preserve">PARTIE 4 — Les longueurs d'onde et leurs effets</w:t>
      </w:r>
    </w:p>
    <w:p>
      <w:pPr>
        <w:spacing w:after="80" w:before="80"/>
        <w:ind/>
      </w:pPr>
      <w:r>
        <w:rPr>
          <w:rFonts w:ascii="Calibri" w:cs="Calibri" w:eastAsia="Calibri" w:hAnsi="Calibri"/>
          <w:b w:val="false"/>
          <w:bCs w:val="false"/>
          <w:i w:val="false"/>
          <w:iCs w:val="false"/>
          <w:color w:val="1A1A1A"/>
          <w:sz w:val="22"/>
          <w:szCs w:val="22"/>
        </w:rPr>
        <w:t xml:space="preserve">C'est un détail technique qui vous distingue d'un vendeur lambda. Si vous pouvez parler de nanomètres avec précision, vous devenez immédiatement l'expert dans la pièce.</w:t>
      </w:r>
    </w:p>
    <w:p>
      <w:pPr>
        <w:spacing w:before="160"/>
      </w:pP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fill="C0392B" w:val="clear"/>
            <w:tcMar>
              <w:top w:type="dxa" w:w="80"/>
              <w:left w:type="dxa" w:w="120"/>
              <w:bottom w:type="dxa" w:w="80"/>
              <w:right w:type="dxa" w:w="120"/>
            </w:tcMar>
          </w:tcPr>
          <w:p>
            <w:r>
              <w:rPr>
                <w:rFonts w:ascii="Calibri" w:cs="Calibri" w:eastAsia="Calibri" w:hAnsi="Calibri"/>
                <w:b/>
                <w:bCs/>
                <w:color w:val="FFFFFF"/>
                <w:sz w:val="20"/>
                <w:szCs w:val="20"/>
              </w:rPr>
              <w:t xml:space="preserve">Longueur d'onde</w:t>
            </w:r>
          </w:p>
        </w:tc>
        <w:tc>
          <w:tcPr>
            <w:shd w:fill="C0392B" w:val="clear"/>
            <w:tcMar>
              <w:top w:type="dxa" w:w="80"/>
              <w:left w:type="dxa" w:w="120"/>
              <w:bottom w:type="dxa" w:w="80"/>
              <w:right w:type="dxa" w:w="120"/>
            </w:tcMar>
          </w:tcPr>
          <w:p>
            <w:r>
              <w:rPr>
                <w:rFonts w:ascii="Calibri" w:cs="Calibri" w:eastAsia="Calibri" w:hAnsi="Calibri"/>
                <w:b/>
                <w:bCs/>
                <w:color w:val="FFFFFF"/>
                <w:sz w:val="20"/>
                <w:szCs w:val="20"/>
              </w:rPr>
              <w:t xml:space="preserve">Type</w:t>
            </w:r>
          </w:p>
        </w:tc>
        <w:tc>
          <w:tcPr>
            <w:shd w:fill="C0392B" w:val="clear"/>
            <w:tcMar>
              <w:top w:type="dxa" w:w="80"/>
              <w:left w:type="dxa" w:w="120"/>
              <w:bottom w:type="dxa" w:w="80"/>
              <w:right w:type="dxa" w:w="120"/>
            </w:tcMar>
          </w:tcPr>
          <w:p>
            <w:r>
              <w:rPr>
                <w:rFonts w:ascii="Calibri" w:cs="Calibri" w:eastAsia="Calibri" w:hAnsi="Calibri"/>
                <w:b/>
                <w:bCs/>
                <w:color w:val="FFFFFF"/>
                <w:sz w:val="20"/>
                <w:szCs w:val="20"/>
              </w:rPr>
              <w:t xml:space="preserve">Pénétration</w:t>
            </w:r>
          </w:p>
        </w:tc>
        <w:tc>
          <w:tcPr>
            <w:shd w:fill="C0392B" w:val="clear"/>
            <w:tcMar>
              <w:top w:type="dxa" w:w="80"/>
              <w:left w:type="dxa" w:w="120"/>
              <w:bottom w:type="dxa" w:w="80"/>
              <w:right w:type="dxa" w:w="120"/>
            </w:tcMar>
          </w:tcPr>
          <w:p>
            <w:r>
              <w:rPr>
                <w:rFonts w:ascii="Calibri" w:cs="Calibri" w:eastAsia="Calibri" w:hAnsi="Calibri"/>
                <w:b/>
                <w:bCs/>
                <w:color w:val="FFFFFF"/>
                <w:sz w:val="20"/>
                <w:szCs w:val="20"/>
              </w:rPr>
              <w:t xml:space="preserve">Effet principal</w:t>
            </w:r>
          </w:p>
        </w:tc>
      </w:tr>
      <w:tr>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630–660 nm</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Lumière rouge visible</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5–8 mm</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Peau, circulation, collagène</w:t>
            </w:r>
          </w:p>
        </w:tc>
      </w:tr>
      <w:tr>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810–830 nm</w:t>
            </w:r>
          </w:p>
        </w:tc>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Infrarouge proche</w:t>
            </w:r>
          </w:p>
        </w:tc>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15–25 mm</w:t>
            </w:r>
          </w:p>
        </w:tc>
        <w:tc>
          <w:tcPr>
            <w:shd w:fill="FFFFFF" w:val="clear"/>
            <w:tcMar>
              <w:top w:type="dxa" w:w="80"/>
              <w:left w:type="dxa" w:w="120"/>
              <w:bottom w:type="dxa" w:w="80"/>
              <w:right w:type="dxa" w:w="120"/>
            </w:tcMar>
          </w:tcPr>
          <w:p>
            <w:r>
              <w:rPr>
                <w:rFonts w:ascii="Calibri" w:cs="Calibri" w:eastAsia="Calibri" w:hAnsi="Calibri"/>
                <w:color w:val="1A1A1A"/>
                <w:sz w:val="20"/>
                <w:szCs w:val="20"/>
              </w:rPr>
              <w:t xml:space="preserve">Muscles, inflammation, ATP</w:t>
            </w:r>
          </w:p>
        </w:tc>
      </w:tr>
      <w:tr>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850 nm</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Infrarouge proche</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20–30 mm</w:t>
            </w:r>
          </w:p>
        </w:tc>
        <w:tc>
          <w:tcPr>
            <w:shd w:fill="F5F5F5" w:val="clear"/>
            <w:tcMar>
              <w:top w:type="dxa" w:w="80"/>
              <w:left w:type="dxa" w:w="120"/>
              <w:bottom w:type="dxa" w:w="80"/>
              <w:right w:type="dxa" w:w="120"/>
            </w:tcMar>
          </w:tcPr>
          <w:p>
            <w:r>
              <w:rPr>
                <w:rFonts w:ascii="Calibri" w:cs="Calibri" w:eastAsia="Calibri" w:hAnsi="Calibri"/>
                <w:color w:val="1A1A1A"/>
                <w:sz w:val="20"/>
                <w:szCs w:val="20"/>
              </w:rPr>
              <w:t xml:space="preserve">Tendons, os, récupération profonde</w:t>
            </w:r>
          </w:p>
        </w:tc>
      </w:tr>
    </w:tbl>
    <w:p>
      <w:pPr>
        <w:spacing w:after="100" w:before="240"/>
      </w:pPr>
      <w:r>
        <w:rPr>
          <w:rFonts w:ascii="Calibri" w:cs="Calibri" w:eastAsia="Calibri" w:hAnsi="Calibri"/>
          <w:b/>
          <w:bCs/>
          <w:color w:val="1A1A1A"/>
          <w:sz w:val="24"/>
          <w:szCs w:val="24"/>
        </w:rPr>
        <w:t xml:space="preserve">Ce que vous dites à un client</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"Nos panneaux émettent deux longueurs d'onde simultanément — le rouge à 660 nm pour la peau et la circulation, et l'infrarouge à 850 nm pour les muscles et les tendons en profondeur. C'est cette combinaison qui donne les meilleurs résultats cliniques."</w:t>
            </w:r>
          </w:p>
        </w:tc>
      </w:tr>
    </w:tbl>
    <w:p>
      <w:r>
        <w:br w:type="page"/>
      </w:r>
    </w:p>
    <w:p>
      <w:pPr>
        <w:pBdr>
          <w:bottom w:val="single" w:color="C0392B" w:sz="8"/>
        </w:pBdr>
        <w:spacing w:after="240" w:before="480"/>
      </w:pPr>
      <w:r>
        <w:rPr>
          <w:rFonts w:ascii="Calibri" w:cs="Calibri" w:eastAsia="Calibri" w:hAnsi="Calibri"/>
          <w:b/>
          <w:bCs/>
          <w:color w:val="C0392B"/>
          <w:sz w:val="40"/>
          <w:szCs w:val="40"/>
        </w:rPr>
        <w:t xml:space="preserve">PARTIE 5 — Les protocoles pratiques</w:t>
      </w:r>
    </w:p>
    <w:p>
      <w:pPr>
        <w:spacing w:after="160" w:before="360"/>
      </w:pPr>
      <w:r>
        <w:rPr>
          <w:rFonts w:ascii="Calibri" w:cs="Calibri" w:eastAsia="Calibri" w:hAnsi="Calibri"/>
          <w:b/>
          <w:bCs/>
          <w:color w:val="C0392B"/>
          <w:sz w:val="28"/>
          <w:szCs w:val="28"/>
        </w:rPr>
        <w:t xml:space="preserve">Protocole standard récupération sportive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Durée : 20 minutes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Distance : 10 à 30 cm du panneau</w:t>
      </w:r>
    </w:p>
    <w:p>
      <w:pPr>
        <w:pStyle w:val="ListParagraph"/>
        <w:numPr>
          <w:ilvl w:val="0"/>
          <w:numId w:val="1"/>
        </w:numPr>
        <w:spacing w:after="60" w:before="60"/>
        <w:ind w:left="720" w:hanging="360"/>
      </w:pPr>
      <w:r>
        <w:rPr>
          <w:rFonts w:ascii="Calibri" w:cs="Calibri" w:eastAsia="Calibri" w:hAnsi="Calibri"/>
          <w:color w:val="1A1A1A"/>
          <w:sz w:val="22"/>
          <w:szCs w:val="22"/>
        </w:rPr>
        <w:t xml:space="preserve">Fréquence : 3 à 5 fois par semaine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Moment : immédiatement après l'effort ou dans les 2 heures suivantes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Position : exposer les groupes musculaires les plus sollicités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Tenue : peau exposée directement (les vêtements bloquent la lumière)</w:t>
      </w:r>
    </w:p>
    <w:p>
      <w:pPr>
        <w:spacing w:after="160" w:before="360"/>
      </w:pPr>
      <w:r>
        <w:rPr>
          <w:rFonts w:ascii="Calibri" w:cs="Calibri" w:eastAsia="Calibri" w:hAnsi="Calibri"/>
          <w:b/>
          <w:bCs/>
          <w:color w:val="C0392B"/>
          <w:sz w:val="28"/>
          <w:szCs w:val="28"/>
        </w:rPr>
        <w:t xml:space="preserve">Protocole anti-inflammation (blessure aiguë)</w:t>
      </w:r>
    </w:p>
    <w:p>
      <w:pPr>
        <w:pStyle w:val="ListParagraph"/>
        <w:numPr>
          <w:ilvl w:val="0"/>
          <w:numId w:val="1"/>
        </w:numPr>
        <w:spacing w:after="60" w:before="60"/>
        <w:ind w:left="720" w:hanging="360"/>
      </w:pPr>
      <w:r>
        <w:rPr>
          <w:rFonts w:ascii="Calibri" w:cs="Calibri" w:eastAsia="Calibri" w:hAnsi="Calibri"/>
          <w:color w:val="1A1A1A"/>
          <w:sz w:val="22"/>
          <w:szCs w:val="22"/>
        </w:rPr>
        <w:t xml:space="preserve">Durée : 10 à 15 minutes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Distance : 5 à 10 cm (plus proche = plus intense)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Fréquence : 2 fois par jour en phase aiguë</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Moment : dès que possible après la blessure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Important : ne jamais appliquer sur une plaie ouverte</w:t>
      </w:r>
    </w:p>
    <w:p>
      <w:pPr>
        <w:spacing w:after="160" w:before="360"/>
      </w:pPr>
      <w:r>
        <w:rPr>
          <w:rFonts w:ascii="Calibri" w:cs="Calibri" w:eastAsia="Calibri" w:hAnsi="Calibri"/>
          <w:b/>
          <w:bCs/>
          <w:color w:val="C0392B"/>
          <w:sz w:val="28"/>
          <w:szCs w:val="28"/>
        </w:rPr>
        <w:t xml:space="preserve">Protocole sommeil (stimulation mélatonine)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Durée : 15 à 20 minutes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Moment : 90 minutes avant le coucher</w:t>
      </w:r>
    </w:p>
    <w:p>
      <w:pPr>
        <w:pStyle w:val="ListParagraph"/>
        <w:numPr>
          <w:ilvl w:val="0"/>
          <w:numId w:val="1"/>
        </w:numPr>
        <w:spacing w:after="60" w:before="60"/>
        <w:ind w:left="720" w:hanging="360"/>
      </w:pPr>
      <w:r>
        <w:rPr>
          <w:rFonts w:ascii="Calibri" w:cs="Calibri" w:eastAsia="Calibri" w:hAnsi="Calibri"/>
          <w:color w:val="1A1A1A"/>
          <w:sz w:val="22"/>
          <w:szCs w:val="22"/>
        </w:rPr>
        <w:t xml:space="preserve">Effet : stimule la production naturelle de mélatonine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Position : exposer le visage et le cou brièvement, puis le corps</w:t>
      </w:r>
    </w:p>
    <w:p>
      <w:pPr>
        <w:spacing w:after="160" w:before="360"/>
      </w:pPr>
      <w:r>
        <w:rPr>
          <w:rFonts w:ascii="Calibri" w:cs="Calibri" w:eastAsia="Calibri" w:hAnsi="Calibri"/>
          <w:b/>
          <w:bCs/>
          <w:color w:val="C0392B"/>
          <w:sz w:val="28"/>
          <w:szCs w:val="28"/>
        </w:rPr>
        <w:t xml:space="preserve">Protocole peau et collagène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Durée : 10 à 15 minutes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Distance : 20 à 40 cm</w:t>
      </w:r>
    </w:p>
    <w:p>
      <w:pPr>
        <w:pStyle w:val="ListParagraph"/>
        <w:numPr>
          <w:ilvl w:val="0"/>
          <w:numId w:val="1"/>
        </w:numPr>
        <w:spacing w:after="60" w:before="60"/>
        <w:ind w:left="720" w:hanging="360"/>
      </w:pPr>
      <w:r>
        <w:rPr>
          <w:rFonts w:ascii="Calibri" w:cs="Calibri" w:eastAsia="Calibri" w:hAnsi="Calibri"/>
          <w:color w:val="1A1A1A"/>
          <w:sz w:val="22"/>
          <w:szCs w:val="22"/>
        </w:rPr>
        <w:t xml:space="preserve">Fréquence : 3 à 5 fois par semaine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Cible : visage, cou, zones de cicatrices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Résultats visibles : après 4 à 8 semaines</w:t>
      </w:r>
    </w:p>
    <w:p>
      <w:r>
        <w:br w:type="page"/>
      </w:r>
    </w:p>
    <w:p>
      <w:pPr>
        <w:pBdr>
          <w:bottom w:val="single" w:color="C0392B" w:sz="8"/>
        </w:pBdr>
        <w:spacing w:after="240" w:before="480"/>
      </w:pPr>
      <w:r>
        <w:rPr>
          <w:rFonts w:ascii="Calibri" w:cs="Calibri" w:eastAsia="Calibri" w:hAnsi="Calibri"/>
          <w:b/>
          <w:bCs/>
          <w:color w:val="C0392B"/>
          <w:sz w:val="40"/>
          <w:szCs w:val="40"/>
        </w:rPr>
        <w:t xml:space="preserve">PARTIE 6 — Les contre-indications</w:t>
      </w:r>
    </w:p>
    <w:p>
      <w:pPr>
        <w:spacing w:after="80" w:before="80"/>
        <w:ind/>
      </w:pPr>
      <w:r>
        <w:rPr>
          <w:rFonts w:ascii="Calibri" w:cs="Calibri" w:eastAsia="Calibri" w:hAnsi="Calibri"/>
          <w:b w:val="false"/>
          <w:bCs w:val="false"/>
          <w:i w:val="false"/>
          <w:iCs w:val="false"/>
          <w:color w:val="1A1A1A"/>
          <w:sz w:val="22"/>
          <w:szCs w:val="22"/>
        </w:rPr>
        <w:t xml:space="preserve">Pour être crédible, vous devez aussi savoir ce qu'on ne doit pas faire. Un vendeur qui ne connaît pas les contre-indications perd instantanément la confiance des professionnels de santé.</w:t>
      </w:r>
    </w:p>
    <w:p>
      <w:pPr>
        <w:spacing w:after="160" w:before="360"/>
      </w:pPr>
      <w:r>
        <w:rPr>
          <w:rFonts w:ascii="Calibri" w:cs="Calibri" w:eastAsia="Calibri" w:hAnsi="Calibri"/>
          <w:b/>
          <w:bCs/>
          <w:color w:val="C0392B"/>
          <w:sz w:val="28"/>
          <w:szCs w:val="28"/>
        </w:rPr>
        <w:t xml:space="preserve">Contre-indications absolues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Prise de médicaments photosensibilisants (certains antibiotiques, antidépresseurs)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Cancer actif dans la zone d'application</w:t>
      </w:r>
    </w:p>
    <w:p>
      <w:pPr>
        <w:pStyle w:val="ListParagraph"/>
        <w:numPr>
          <w:ilvl w:val="0"/>
          <w:numId w:val="1"/>
        </w:numPr>
        <w:spacing w:after="60" w:before="60"/>
        <w:ind w:left="720" w:hanging="360"/>
      </w:pPr>
      <w:r>
        <w:rPr>
          <w:rFonts w:ascii="Calibri" w:cs="Calibri" w:eastAsia="Calibri" w:hAnsi="Calibri"/>
          <w:color w:val="1A1A1A"/>
          <w:sz w:val="22"/>
          <w:szCs w:val="22"/>
        </w:rPr>
        <w:t xml:space="preserve">Épilepsie photosensible</w:t>
      </w:r>
    </w:p>
    <w:p>
      <w:pPr>
        <w:pStyle w:val="ListParagraph"/>
        <w:numPr>
          <w:ilvl w:val="0"/>
          <w:numId w:val="1"/>
        </w:numPr>
        <w:spacing w:after="60" w:before="60"/>
        <w:ind w:left="720" w:hanging="360"/>
      </w:pPr>
      <w:r>
        <w:rPr>
          <w:rFonts w:ascii="Calibri" w:cs="Calibri" w:eastAsia="Calibri" w:hAnsi="Calibri"/>
          <w:color w:val="1A1A1A"/>
          <w:sz w:val="22"/>
          <w:szCs w:val="22"/>
        </w:rPr>
        <w:t xml:space="preserve">Port de stimulateur cardiaque (pour certains appareils)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Grossesse sur le ventre</w:t>
      </w:r>
    </w:p>
    <w:p>
      <w:pPr>
        <w:spacing w:after="160" w:before="360"/>
      </w:pPr>
      <w:r>
        <w:rPr>
          <w:rFonts w:ascii="Calibri" w:cs="Calibri" w:eastAsia="Calibri" w:hAnsi="Calibri"/>
          <w:b/>
          <w:bCs/>
          <w:color w:val="C0392B"/>
          <w:sz w:val="28"/>
          <w:szCs w:val="28"/>
        </w:rPr>
        <w:t xml:space="preserve">Précautions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Toujours protéger les yeux (lunettes de protection incluses avec chaque appareil)</w:t>
      </w:r>
    </w:p>
    <w:p>
      <w:pPr>
        <w:pStyle w:val="ListParagraph"/>
        <w:numPr>
          <w:ilvl w:val="0"/>
          <w:numId w:val="1"/>
        </w:numPr>
        <w:spacing w:after="60" w:before="60"/>
        <w:ind w:left="720" w:hanging="360"/>
      </w:pPr>
      <w:r>
        <w:rPr>
          <w:rFonts w:ascii="Calibri" w:cs="Calibri" w:eastAsia="Calibri" w:hAnsi="Calibri"/>
          <w:color w:val="1A1A1A"/>
          <w:sz w:val="22"/>
          <w:szCs w:val="22"/>
        </w:rPr>
        <w:t xml:space="preserve">Ne pas regarder directement les LED</w:t>
      </w:r>
    </w:p>
    <w:p>
      <w:pPr>
        <w:pStyle w:val="ListParagraph"/>
        <w:numPr>
          <w:ilvl w:val="0"/>
          <w:numId w:val="1"/>
        </w:numPr>
        <w:spacing w:after="60" w:before="60"/>
        <w:ind w:left="720" w:hanging="360"/>
      </w:pPr>
      <w:r>
        <w:rPr>
          <w:rFonts w:ascii="Calibri" w:cs="Calibri" w:eastAsia="Calibri" w:hAnsi="Calibri"/>
          <w:color w:val="1A1A1A"/>
          <w:sz w:val="22"/>
          <w:szCs w:val="22"/>
        </w:rPr>
        <w:t xml:space="preserve">Commencer par des séances courtes (10 min) pour les peaux sensibles</w:t>
      </w:r>
    </w:p>
    <w:p>
      <w:pPr>
        <w:spacing w:after="100" w:before="240"/>
      </w:pPr>
      <w:r>
        <w:rPr>
          <w:rFonts w:ascii="Calibri" w:cs="Calibri" w:eastAsia="Calibri" w:hAnsi="Calibri"/>
          <w:b/>
          <w:bCs/>
          <w:color w:val="1A1A1A"/>
          <w:sz w:val="24"/>
          <w:szCs w:val="24"/>
        </w:rPr>
        <w:t xml:space="preserve">Ce que vous dites à un client médical</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"Nos équipements sont livrés avec un guide de contre-indications complet. Nous recommandons systématiquement une consultation médicale pour les patients sous traitement. La sécurité d'utilisation est notre priorité."</w:t>
            </w:r>
          </w:p>
        </w:tc>
      </w:tr>
    </w:tbl>
    <w:p>
      <w:r>
        <w:br w:type="page"/>
      </w:r>
    </w:p>
    <w:p>
      <w:pPr>
        <w:pBdr>
          <w:bottom w:val="single" w:color="C0392B" w:sz="8"/>
        </w:pBdr>
        <w:spacing w:after="240" w:before="480"/>
      </w:pPr>
      <w:r>
        <w:rPr>
          <w:rFonts w:ascii="Calibri" w:cs="Calibri" w:eastAsia="Calibri" w:hAnsi="Calibri"/>
          <w:b/>
          <w:bCs/>
          <w:color w:val="C0392B"/>
          <w:sz w:val="40"/>
          <w:szCs w:val="40"/>
        </w:rPr>
        <w:t xml:space="preserve">PARTIE 7 — Répondre aux objections</w:t>
      </w:r>
    </w:p>
    <w:p>
      <w:pPr>
        <w:spacing w:after="80" w:before="80"/>
        <w:ind/>
      </w:pPr>
      <w:r>
        <w:rPr>
          <w:rFonts w:ascii="Calibri" w:cs="Calibri" w:eastAsia="Calibri" w:hAnsi="Calibri"/>
          <w:b w:val="false"/>
          <w:bCs w:val="false"/>
          <w:i w:val="false"/>
          <w:iCs w:val="false"/>
          <w:color w:val="1A1A1A"/>
          <w:sz w:val="22"/>
          <w:szCs w:val="22"/>
        </w:rPr>
        <w:t xml:space="preserve">Ce sont les vraies objections que vous allez entendre. Mémorisez ces réponses.</w:t>
      </w:r>
    </w:p>
    <w:p>
      <w:pPr>
        <w:spacing w:before="160"/>
      </w:pPr>
    </w:p>
    <w:p>
      <w:pPr>
        <w:spacing w:after="160" w:before="360"/>
      </w:pPr>
      <w:r>
        <w:rPr>
          <w:rFonts w:ascii="Calibri" w:cs="Calibri" w:eastAsia="Calibri" w:hAnsi="Calibri"/>
          <w:b/>
          <w:bCs/>
          <w:color w:val="C0392B"/>
          <w:sz w:val="28"/>
          <w:szCs w:val="28"/>
        </w:rPr>
        <w:t xml:space="preserve">Objection N°1 : "C'est quoi cette histoire de lumière rouge ? C'est du marketing ?"</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"Je comprends le scepticisme — ça semble simple. Mais la photobiomodulation est étudiée depuis les années 1960. Il y a aujourd'hui plus de 5 000 études publiées sur PubMed. La NASA l'utilise pour ses astronautes. La FDA l'a approuvée aux États-Unis. Ce n'est pas du marketing, c'est de la biophysique cellulaire."</w:t>
            </w:r>
          </w:p>
        </w:tc>
      </w:tr>
    </w:tbl>
    <w:p>
      <w:pPr>
        <w:spacing w:after="160" w:before="360"/>
      </w:pPr>
      <w:r>
        <w:rPr>
          <w:rFonts w:ascii="Calibri" w:cs="Calibri" w:eastAsia="Calibri" w:hAnsi="Calibri"/>
          <w:b/>
          <w:bCs/>
          <w:color w:val="C0392B"/>
          <w:sz w:val="28"/>
          <w:szCs w:val="28"/>
        </w:rPr>
        <w:t xml:space="preserve">Objection N°2 : "Mes joueurs peuvent s'acheter une lampe rouge sur Amazon pour 200 DH."</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"Bonne question. La différence c'est la puissance et la surface de couverture. Une lampe à 200 DH émet quelques watts sur une zone de la taille d'une main. Nos panneaux professionnels émettent des centaines de watts et couvrent le corps entier. C'est comme comparer une lampe de poche à un projecteur de stade — les deux émettent de la lumière, mais l'effet est incomparable."</w:t>
            </w:r>
          </w:p>
        </w:tc>
      </w:tr>
    </w:tbl>
    <w:p>
      <w:pPr>
        <w:spacing w:after="160" w:before="360"/>
      </w:pPr>
      <w:r>
        <w:rPr>
          <w:rFonts w:ascii="Calibri" w:cs="Calibri" w:eastAsia="Calibri" w:hAnsi="Calibri"/>
          <w:b/>
          <w:bCs/>
          <w:color w:val="C0392B"/>
          <w:sz w:val="28"/>
          <w:szCs w:val="28"/>
        </w:rPr>
        <w:t xml:space="preserve">Objection N°3 : "On n'a pas la place pour ça."</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"C'est l'objection que j'entends le plus — et c'est toujours fausse. Notre panneau le plus compact fait 60 cm × 30 cm. Un coin vestiaire de 2 m² suffit. Je peux venir faire un audit de votre espace gratuitement et vous montrer exactement comment ça s'intègre."</w:t>
            </w:r>
          </w:p>
        </w:tc>
      </w:tr>
    </w:tbl>
    <w:p>
      <w:pPr>
        <w:spacing w:after="160" w:before="360"/>
      </w:pPr>
      <w:r>
        <w:rPr>
          <w:rFonts w:ascii="Calibri" w:cs="Calibri" w:eastAsia="Calibri" w:hAnsi="Calibri"/>
          <w:b/>
          <w:bCs/>
          <w:color w:val="C0392B"/>
          <w:sz w:val="28"/>
          <w:szCs w:val="28"/>
        </w:rPr>
        <w:t xml:space="preserve">Objection N°4 : "C'est trop cher."</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"Je comprends. Mais à 300 MAD par séance et 5 séances par jour, vous amortissez l'investissement en 11 jours. Après ça, c'est du revenu pur. Est-ce que votre court de padel le plus rentable se rembourse en 11 jours ?"</w:t>
            </w:r>
          </w:p>
        </w:tc>
      </w:tr>
    </w:tbl>
    <w:p>
      <w:pPr>
        <w:spacing w:after="160" w:before="360"/>
      </w:pPr>
      <w:r>
        <w:rPr>
          <w:rFonts w:ascii="Calibri" w:cs="Calibri" w:eastAsia="Calibri" w:hAnsi="Calibri"/>
          <w:b/>
          <w:bCs/>
          <w:color w:val="C0392B"/>
          <w:sz w:val="28"/>
          <w:szCs w:val="28"/>
        </w:rPr>
        <w:t xml:space="preserve">Objection N°5 : "J'ai besoin de voir des résultats avant d'acheter."</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"Absolument normal. C'est pour ça que je vous propose une démonstration dans votre établissement. On installe temporairement le matériel, vos membres testent gratuitement pendant une semaine, et on mesure ensemble les retours. Pas d'engagement, juste des faits."</w:t>
            </w:r>
          </w:p>
        </w:tc>
      </w:tr>
    </w:tbl>
    <w:p>
      <w:r>
        <w:br w:type="page"/>
      </w:r>
    </w:p>
    <w:p>
      <w:pPr>
        <w:pBdr>
          <w:bottom w:val="single" w:color="C0392B" w:sz="8"/>
        </w:pBdr>
        <w:spacing w:after="240" w:before="480"/>
      </w:pPr>
      <w:r>
        <w:rPr>
          <w:rFonts w:ascii="Calibri" w:cs="Calibri" w:eastAsia="Calibri" w:hAnsi="Calibri"/>
          <w:b/>
          <w:bCs/>
          <w:color w:val="C0392B"/>
          <w:sz w:val="40"/>
          <w:szCs w:val="40"/>
        </w:rPr>
        <w:t xml:space="preserve">PARTIE 8 — Adapter le pitch selon le client</w:t>
      </w:r>
    </w:p>
    <w:p>
      <w:pPr>
        <w:spacing w:after="160" w:before="360"/>
      </w:pPr>
      <w:r>
        <w:rPr>
          <w:rFonts w:ascii="Calibri" w:cs="Calibri" w:eastAsia="Calibri" w:hAnsi="Calibri"/>
          <w:b/>
          <w:bCs/>
          <w:color w:val="C0392B"/>
          <w:sz w:val="28"/>
          <w:szCs w:val="28"/>
        </w:rPr>
        <w:t xml:space="preserve">Face à un club de padel — Angle : performance et fidélisation</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"Vos joueurs vont jouer mieux, récupérer plus vite entre les sessions, et rester membres plus longtemps. La Recovery Room devient la raison principale de choisir votre club plutôt que celui d'en face."</w:t>
            </w:r>
          </w:p>
        </w:tc>
      </w:tr>
    </w:tbl>
    <w:p>
      <w:pPr>
        <w:spacing w:after="160" w:before="360"/>
      </w:pPr>
      <w:r>
        <w:rPr>
          <w:rFonts w:ascii="Calibri" w:cs="Calibri" w:eastAsia="Calibri" w:hAnsi="Calibri"/>
          <w:b/>
          <w:bCs/>
          <w:color w:val="C0392B"/>
          <w:sz w:val="28"/>
          <w:szCs w:val="28"/>
        </w:rPr>
        <w:t xml:space="preserve">Face à un kinésithérapeute — Angle : outil thérapeutique</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"Appliquée avant votre manipulation, elle prépare les tissus — vous travaillez sur des muscles déjà dénoués. Appliquée après, elle potentialise votre traitement. Vos patients progressent 40% plus vite. Vous proposez des séances additionnelles facturables."</w:t>
            </w:r>
          </w:p>
        </w:tc>
      </w:tr>
    </w:tbl>
    <w:p>
      <w:pPr>
        <w:spacing w:after="160" w:before="360"/>
      </w:pPr>
      <w:r>
        <w:rPr>
          <w:rFonts w:ascii="Calibri" w:cs="Calibri" w:eastAsia="Calibri" w:hAnsi="Calibri"/>
          <w:b/>
          <w:bCs/>
          <w:color w:val="C0392B"/>
          <w:sz w:val="28"/>
          <w:szCs w:val="28"/>
        </w:rPr>
        <w:t xml:space="preserve">Face à un hôtel — Angle : expérience premium</w:t>
      </w:r>
    </w:p>
    <w:tbl>
      <w:tblPr>
        <w:tblW w:type="dxa" w:w="9500"/>
        <w:tblBorders>
          <w:top w:val="none"/>
          <w:left w:val="thick" w:color="C0392B" w:sz="24"/>
          <w:bottom w:val="none"/>
          <w:right w:val="none"/>
          <w:insideH w:val="single" w:color="auto" w:sz="4"/>
          <w:insideV w:val="single" w:color="auto" w:sz="4"/>
        </w:tblBorders>
      </w:tblPr>
      <w:tblGrid>
        <w:gridCol w:w="100"/>
      </w:tblGrid>
      <w:tr>
        <w:tc>
          <w:tcPr>
            <w:tcW w:type="dxa" w:w="9500"/>
            <w:shd w:fill="FFF5F5" w:val="clear"/>
            <w:tcMar>
              <w:top w:type="dxa" w:w="120"/>
              <w:left w:type="dxa" w:w="200"/>
              <w:bottom w:type="dxa" w:w="120"/>
              <w:right w:type="dxa" w:w="120"/>
            </w:tcMar>
          </w:tcPr>
          <w:p>
            <w:r>
              <w:rPr>
                <w:rFonts w:ascii="Calibri" w:cs="Calibri" w:eastAsia="Calibri" w:hAnsi="Calibri"/>
                <w:i/>
                <w:iCs/>
                <w:color w:val="1A1A1A"/>
                <w:sz w:val="22"/>
                <w:szCs w:val="22"/>
              </w:rPr>
              <w:t xml:space="preserve">"C'est l'expérience la plus photogénique de votre spa. Vos clients la partagent sur Instagram spontanément. Et à 400 MAD la séance, 8 séances par jour vous donnent 3 200 MAD de revenu additionnel quotidien."</w:t>
            </w:r>
          </w:p>
        </w:tc>
      </w:tr>
    </w:tbl>
    <w:p>
      <w:r>
        <w:br w:type="page"/>
      </w:r>
    </w:p>
    <w:p>
      <w:pPr>
        <w:pBdr>
          <w:bottom w:val="single" w:color="C0392B" w:sz="8"/>
        </w:pBdr>
        <w:spacing w:after="240" w:before="480"/>
      </w:pPr>
      <w:r>
        <w:rPr>
          <w:rFonts w:ascii="Calibri" w:cs="Calibri" w:eastAsia="Calibri" w:hAnsi="Calibri"/>
          <w:b/>
          <w:bCs/>
          <w:color w:val="C0392B"/>
          <w:sz w:val="40"/>
          <w:szCs w:val="40"/>
        </w:rPr>
        <w:t xml:space="preserve">TEST DE COMPRÉHENSION — Module 2</w:t>
      </w:r>
    </w:p>
    <w:p>
      <w:pPr>
        <w:spacing w:after="80" w:before="80"/>
        <w:ind/>
      </w:pPr>
      <w:r>
        <w:rPr>
          <w:rFonts w:ascii="Calibri" w:cs="Calibri" w:eastAsia="Calibri" w:hAnsi="Calibri"/>
          <w:b w:val="false"/>
          <w:bCs w:val="false"/>
          <w:i w:val="false"/>
          <w:iCs w:val="false"/>
          <w:color w:val="1A1A1A"/>
          <w:sz w:val="22"/>
          <w:szCs w:val="22"/>
        </w:rPr>
        <w:t xml:space="preserve">Répondez à ces questions sans regarder vos notes :</w:t>
      </w:r>
    </w:p>
    <w:p>
      <w:pPr>
        <w:spacing w:before="160"/>
      </w:pPr>
    </w:p>
    <w:p>
      <w:pPr>
        <w:pStyle w:val="ListParagraph"/>
        <w:numPr>
          <w:ilvl w:val="0"/>
          <w:numId w:val="1"/>
        </w:numPr>
        <w:spacing w:after="60" w:before="60"/>
        <w:ind w:left="720" w:hanging="360"/>
      </w:pPr>
      <w:r>
        <w:rPr>
          <w:rFonts w:ascii="Calibri" w:cs="Calibri" w:eastAsia="Calibri" w:hAnsi="Calibri"/>
          <w:color w:val="1A1A1A"/>
          <w:sz w:val="22"/>
          <w:szCs w:val="22"/>
        </w:rPr>
        <w:t xml:space="preserve">Qu'est-ce que la cytochrome c oxydase et quel est son rôle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Quelle est la différence entre 660 nm et 850 nm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Pourquoi une lampe Amazon à 200 DH ne remplace pas un panneau professionnel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Citez 3 contre-indications absolues.</w:t>
      </w:r>
    </w:p>
    <w:p>
      <w:pPr>
        <w:pStyle w:val="ListParagraph"/>
        <w:numPr>
          <w:ilvl w:val="0"/>
          <w:numId w:val="1"/>
        </w:numPr>
        <w:spacing w:after="60" w:before="60"/>
        <w:ind w:left="720" w:hanging="360"/>
      </w:pPr>
      <w:r>
        <w:rPr>
          <w:rFonts w:ascii="Calibri" w:cs="Calibri" w:eastAsia="Calibri" w:hAnsi="Calibri"/>
          <w:color w:val="1A1A1A"/>
          <w:sz w:val="22"/>
          <w:szCs w:val="22"/>
        </w:rPr>
        <w:t xml:space="preserve">Comment répondez-vous à "c'est du marketing" ?</w:t>
      </w:r>
    </w:p>
    <w:p>
      <w:pPr>
        <w:pStyle w:val="ListParagraph"/>
        <w:numPr>
          <w:ilvl w:val="0"/>
          <w:numId w:val="1"/>
        </w:numPr>
        <w:spacing w:after="60" w:before="60"/>
        <w:ind w:left="720" w:hanging="360"/>
      </w:pPr>
      <w:r>
        <w:rPr>
          <w:rFonts w:ascii="Calibri" w:cs="Calibri" w:eastAsia="Calibri" w:hAnsi="Calibri"/>
          <w:color w:val="1A1A1A"/>
          <w:sz w:val="22"/>
          <w:szCs w:val="22"/>
        </w:rPr>
        <w:t xml:space="preserve">Quel argument utilisez-vous face à un club de padel ? Face à un kiné ?</w:t>
      </w:r>
    </w:p>
    <w:p>
      <w:pPr>
        <w:spacing w:before="240"/>
      </w:pPr>
    </w:p>
    <w:p>
      <w:pPr>
        <w:pBdr>
          <w:bottom w:val="single" w:color="C0392B" w:sz="6"/>
        </w:pBdr>
        <w:spacing w:after="240" w:before="240"/>
      </w:pPr>
      <w:r>
        <w:t xml:space="preserve"/>
      </w:r>
    </w:p>
    <w:p>
      <w:pPr>
        <w:spacing w:before="240"/>
        <w:jc w:val="center"/>
      </w:pPr>
      <w:r>
        <w:rPr>
          <w:rFonts w:ascii="Calibri" w:cs="Calibri" w:eastAsia="Calibri" w:hAnsi="Calibri"/>
          <w:b/>
          <w:bCs/>
          <w:color w:val="C0392B"/>
          <w:sz w:val="24"/>
          <w:szCs w:val="24"/>
        </w:rPr>
        <w:t xml:space="preserve">Module 3 → Ice Bath / Cold Plunge</w:t>
      </w:r>
    </w:p>
    <w:p>
      <w:pPr>
        <w:spacing w:before="120"/>
        <w:jc w:val="center"/>
      </w:pPr>
      <w:r>
        <w:rPr>
          <w:rFonts w:ascii="Calibri" w:cs="Calibri" w:eastAsia="Calibri" w:hAnsi="Calibri"/>
          <w:color w:val="666666"/>
          <w:sz w:val="18"/>
          <w:szCs w:val="18"/>
        </w:rPr>
        <w:t xml:space="preserve">REKOVER · Formation professionnelle · Confidentiel · rekover.ma</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2026-08-03T09:49:59.761Z</dcterms:created>
  <dcterms:modified xsi:type="dcterms:W3CDTF">2026-08-03T09:49:59.775Z</dcterms:modified>
</cp:coreProperties>
</file>

<file path=docProps/custom.xml><?xml version="1.0" encoding="utf-8"?>
<Properties xmlns="http://schemas.openxmlformats.org/officeDocument/2006/custom-properties" xmlns:vt="http://schemas.openxmlformats.org/officeDocument/2006/docPropsVTypes"/>
</file>